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180" w:rsidRDefault="00181F30" w:rsidP="00976A60">
      <w:pPr>
        <w:ind w:hanging="284"/>
        <w:rPr>
          <w:b/>
          <w:sz w:val="24"/>
          <w:szCs w:val="24"/>
        </w:rPr>
      </w:pPr>
      <w:r w:rsidRPr="00DB4A90">
        <w:rPr>
          <w:b/>
          <w:sz w:val="24"/>
          <w:szCs w:val="24"/>
        </w:rPr>
        <w:t>PLANNING PROPOSAL 24 – LEP REVIEW 2016</w:t>
      </w:r>
      <w:r w:rsidR="00CE01B3">
        <w:rPr>
          <w:b/>
          <w:sz w:val="24"/>
          <w:szCs w:val="24"/>
        </w:rPr>
        <w:t xml:space="preserve">          </w:t>
      </w:r>
      <w:r w:rsidR="00CE01B3">
        <w:rPr>
          <w:b/>
          <w:sz w:val="24"/>
          <w:szCs w:val="24"/>
        </w:rPr>
        <w:tab/>
      </w:r>
      <w:r w:rsidR="00CE01B3">
        <w:rPr>
          <w:b/>
          <w:sz w:val="24"/>
          <w:szCs w:val="24"/>
        </w:rPr>
        <w:tab/>
      </w:r>
    </w:p>
    <w:tbl>
      <w:tblPr>
        <w:tblStyle w:val="TableGrid"/>
        <w:tblW w:w="15352" w:type="dxa"/>
        <w:tblInd w:w="-176" w:type="dxa"/>
        <w:tblLayout w:type="fixed"/>
        <w:tblLook w:val="04A0" w:firstRow="1" w:lastRow="0" w:firstColumn="1" w:lastColumn="0" w:noHBand="0" w:noVBand="1"/>
      </w:tblPr>
      <w:tblGrid>
        <w:gridCol w:w="710"/>
        <w:gridCol w:w="3078"/>
        <w:gridCol w:w="1647"/>
        <w:gridCol w:w="1433"/>
        <w:gridCol w:w="3481"/>
        <w:gridCol w:w="3543"/>
        <w:gridCol w:w="1460"/>
      </w:tblGrid>
      <w:tr w:rsidR="00976A60" w:rsidTr="00201547">
        <w:trPr>
          <w:cantSplit/>
          <w:tblHeader/>
        </w:trPr>
        <w:tc>
          <w:tcPr>
            <w:tcW w:w="710" w:type="dxa"/>
            <w:shd w:val="clear" w:color="auto" w:fill="000000" w:themeFill="text1"/>
          </w:tcPr>
          <w:p w:rsidR="00976A60" w:rsidRDefault="00976A60">
            <w:pPr>
              <w:rPr>
                <w:b/>
                <w:sz w:val="24"/>
                <w:szCs w:val="24"/>
              </w:rPr>
            </w:pPr>
            <w:r>
              <w:rPr>
                <w:b/>
                <w:sz w:val="24"/>
                <w:szCs w:val="24"/>
              </w:rPr>
              <w:lastRenderedPageBreak/>
              <w:t xml:space="preserve">Item No. </w:t>
            </w:r>
          </w:p>
        </w:tc>
        <w:tc>
          <w:tcPr>
            <w:tcW w:w="3078" w:type="dxa"/>
            <w:shd w:val="clear" w:color="auto" w:fill="000000" w:themeFill="text1"/>
          </w:tcPr>
          <w:p w:rsidR="00976A60" w:rsidRDefault="00976A60">
            <w:pPr>
              <w:rPr>
                <w:b/>
                <w:sz w:val="24"/>
                <w:szCs w:val="24"/>
              </w:rPr>
            </w:pPr>
            <w:r>
              <w:rPr>
                <w:b/>
                <w:sz w:val="24"/>
                <w:szCs w:val="24"/>
              </w:rPr>
              <w:t>Proposed Change</w:t>
            </w:r>
          </w:p>
        </w:tc>
        <w:tc>
          <w:tcPr>
            <w:tcW w:w="1647" w:type="dxa"/>
            <w:shd w:val="clear" w:color="auto" w:fill="000000" w:themeFill="text1"/>
          </w:tcPr>
          <w:p w:rsidR="00976A60" w:rsidRDefault="00976A60">
            <w:pPr>
              <w:rPr>
                <w:b/>
                <w:sz w:val="24"/>
                <w:szCs w:val="24"/>
              </w:rPr>
            </w:pPr>
            <w:r>
              <w:rPr>
                <w:b/>
                <w:sz w:val="24"/>
                <w:szCs w:val="24"/>
              </w:rPr>
              <w:t xml:space="preserve">Current wording/ mapping </w:t>
            </w:r>
            <w:proofErr w:type="spellStart"/>
            <w:r>
              <w:rPr>
                <w:b/>
                <w:sz w:val="24"/>
                <w:szCs w:val="24"/>
              </w:rPr>
              <w:t>etc</w:t>
            </w:r>
            <w:proofErr w:type="spellEnd"/>
            <w:r>
              <w:rPr>
                <w:b/>
                <w:sz w:val="24"/>
                <w:szCs w:val="24"/>
              </w:rPr>
              <w:t xml:space="preserve"> under LCLEP 2009</w:t>
            </w:r>
          </w:p>
        </w:tc>
        <w:tc>
          <w:tcPr>
            <w:tcW w:w="1433" w:type="dxa"/>
            <w:shd w:val="clear" w:color="auto" w:fill="000000" w:themeFill="text1"/>
          </w:tcPr>
          <w:p w:rsidR="00976A60" w:rsidRDefault="00976A60">
            <w:pPr>
              <w:rPr>
                <w:b/>
                <w:sz w:val="24"/>
                <w:szCs w:val="24"/>
              </w:rPr>
            </w:pPr>
            <w:r>
              <w:rPr>
                <w:b/>
                <w:sz w:val="24"/>
                <w:szCs w:val="24"/>
              </w:rPr>
              <w:t>Instrument/ map change</w:t>
            </w:r>
          </w:p>
        </w:tc>
        <w:tc>
          <w:tcPr>
            <w:tcW w:w="3481" w:type="dxa"/>
            <w:shd w:val="clear" w:color="auto" w:fill="000000" w:themeFill="text1"/>
          </w:tcPr>
          <w:p w:rsidR="00976A60" w:rsidRDefault="00976A60">
            <w:pPr>
              <w:rPr>
                <w:b/>
                <w:sz w:val="24"/>
                <w:szCs w:val="24"/>
              </w:rPr>
            </w:pPr>
            <w:r>
              <w:rPr>
                <w:b/>
                <w:sz w:val="24"/>
                <w:szCs w:val="24"/>
              </w:rPr>
              <w:t>Council justification</w:t>
            </w:r>
          </w:p>
        </w:tc>
        <w:tc>
          <w:tcPr>
            <w:tcW w:w="3543" w:type="dxa"/>
            <w:shd w:val="clear" w:color="auto" w:fill="000000" w:themeFill="text1"/>
          </w:tcPr>
          <w:p w:rsidR="00976A60" w:rsidRDefault="00976A60">
            <w:pPr>
              <w:rPr>
                <w:b/>
                <w:sz w:val="24"/>
                <w:szCs w:val="24"/>
              </w:rPr>
            </w:pPr>
            <w:r>
              <w:rPr>
                <w:b/>
                <w:sz w:val="24"/>
                <w:szCs w:val="24"/>
              </w:rPr>
              <w:t>Department comment</w:t>
            </w:r>
          </w:p>
        </w:tc>
        <w:tc>
          <w:tcPr>
            <w:tcW w:w="1460" w:type="dxa"/>
            <w:shd w:val="clear" w:color="auto" w:fill="000000" w:themeFill="text1"/>
          </w:tcPr>
          <w:p w:rsidR="00976A60" w:rsidRDefault="00976A60">
            <w:pPr>
              <w:rPr>
                <w:b/>
                <w:sz w:val="24"/>
                <w:szCs w:val="24"/>
              </w:rPr>
            </w:pPr>
            <w:r>
              <w:rPr>
                <w:b/>
                <w:sz w:val="24"/>
                <w:szCs w:val="24"/>
              </w:rPr>
              <w:t>Supported/ Not supported</w:t>
            </w:r>
          </w:p>
        </w:tc>
      </w:tr>
      <w:tr w:rsidR="00976A60" w:rsidTr="00201547">
        <w:trPr>
          <w:cantSplit/>
          <w:tblHeader/>
        </w:trPr>
        <w:tc>
          <w:tcPr>
            <w:tcW w:w="710" w:type="dxa"/>
            <w:shd w:val="clear" w:color="auto" w:fill="E2EFD9" w:themeFill="accent6" w:themeFillTint="33"/>
          </w:tcPr>
          <w:p w:rsidR="00976A60" w:rsidRPr="00A065D0" w:rsidRDefault="00976A60">
            <w:pPr>
              <w:rPr>
                <w:b/>
              </w:rPr>
            </w:pPr>
            <w:r w:rsidRPr="00A065D0">
              <w:rPr>
                <w:b/>
              </w:rPr>
              <w:t xml:space="preserve">1 </w:t>
            </w:r>
          </w:p>
        </w:tc>
        <w:tc>
          <w:tcPr>
            <w:tcW w:w="3078" w:type="dxa"/>
            <w:shd w:val="clear" w:color="auto" w:fill="E2EFD9" w:themeFill="accent6" w:themeFillTint="33"/>
          </w:tcPr>
          <w:p w:rsidR="00976A60" w:rsidRPr="008C5385" w:rsidRDefault="00976A60">
            <w:pPr>
              <w:rPr>
                <w:b/>
              </w:rPr>
            </w:pPr>
            <w:r>
              <w:rPr>
                <w:b/>
              </w:rPr>
              <w:t xml:space="preserve">Zone </w:t>
            </w:r>
            <w:r w:rsidRPr="008C5385">
              <w:rPr>
                <w:b/>
              </w:rPr>
              <w:t xml:space="preserve">R4 High Density Residential land use table </w:t>
            </w:r>
          </w:p>
          <w:p w:rsidR="00976A60" w:rsidRPr="008C5385" w:rsidRDefault="00976A60">
            <w:pPr>
              <w:rPr>
                <w:b/>
              </w:rPr>
            </w:pPr>
          </w:p>
          <w:p w:rsidR="00976A60" w:rsidRPr="008C5385" w:rsidRDefault="00976A60">
            <w:r w:rsidRPr="008C5385">
              <w:t>Include Restaurants or cafes as permissible with consent.</w:t>
            </w:r>
          </w:p>
          <w:p w:rsidR="00976A60" w:rsidRPr="008C5385" w:rsidRDefault="00976A60">
            <w:pPr>
              <w:rPr>
                <w:b/>
              </w:rPr>
            </w:pPr>
          </w:p>
        </w:tc>
        <w:tc>
          <w:tcPr>
            <w:tcW w:w="1647" w:type="dxa"/>
            <w:shd w:val="clear" w:color="auto" w:fill="E2EFD9" w:themeFill="accent6" w:themeFillTint="33"/>
          </w:tcPr>
          <w:p w:rsidR="00976A60" w:rsidRPr="008C5385" w:rsidRDefault="00976A60">
            <w:r w:rsidRPr="008C5385">
              <w:t xml:space="preserve">Currently not permitted </w:t>
            </w:r>
          </w:p>
        </w:tc>
        <w:tc>
          <w:tcPr>
            <w:tcW w:w="1433" w:type="dxa"/>
            <w:shd w:val="clear" w:color="auto" w:fill="E2EFD9" w:themeFill="accent6" w:themeFillTint="33"/>
          </w:tcPr>
          <w:p w:rsidR="00976A60" w:rsidRPr="008C5385" w:rsidRDefault="00976A60">
            <w:r w:rsidRPr="008C5385">
              <w:t xml:space="preserve">Instrument </w:t>
            </w:r>
          </w:p>
        </w:tc>
        <w:tc>
          <w:tcPr>
            <w:tcW w:w="3481" w:type="dxa"/>
            <w:shd w:val="clear" w:color="auto" w:fill="E2EFD9" w:themeFill="accent6" w:themeFillTint="33"/>
          </w:tcPr>
          <w:p w:rsidR="00976A60" w:rsidRPr="008C5385" w:rsidRDefault="00976A60" w:rsidP="00E64723">
            <w:r w:rsidRPr="008C5385">
              <w:t xml:space="preserve">To clarify that these uses are permissible to add to local amenity in high density areas. </w:t>
            </w:r>
          </w:p>
          <w:p w:rsidR="00976A60" w:rsidRPr="008C5385" w:rsidRDefault="00976A60"/>
        </w:tc>
        <w:tc>
          <w:tcPr>
            <w:tcW w:w="3543" w:type="dxa"/>
            <w:shd w:val="clear" w:color="auto" w:fill="E2EFD9" w:themeFill="accent6" w:themeFillTint="33"/>
          </w:tcPr>
          <w:p w:rsidR="00976A60" w:rsidRDefault="00976A60" w:rsidP="00E64723">
            <w:r w:rsidRPr="00407C40">
              <w:t xml:space="preserve">The amendment as proposed by Council, to </w:t>
            </w:r>
            <w:r>
              <w:t xml:space="preserve">include Restaurants or cafes as permissible with consent in Zone R4 High Density Residential is </w:t>
            </w:r>
            <w:r w:rsidRPr="00407C40">
              <w:t>supported.</w:t>
            </w:r>
          </w:p>
          <w:p w:rsidR="00976A60" w:rsidRDefault="00976A60" w:rsidP="00E64723"/>
          <w:p w:rsidR="00976A60" w:rsidRDefault="00976A60" w:rsidP="00E64723">
            <w:r>
              <w:t xml:space="preserve">This use is consistent with the objectives of the zone. </w:t>
            </w:r>
          </w:p>
          <w:p w:rsidR="00976A60" w:rsidRDefault="00976A60" w:rsidP="00E64723">
            <w:pPr>
              <w:rPr>
                <w:b/>
                <w:sz w:val="24"/>
                <w:szCs w:val="24"/>
              </w:rPr>
            </w:pPr>
          </w:p>
        </w:tc>
        <w:tc>
          <w:tcPr>
            <w:tcW w:w="1460" w:type="dxa"/>
            <w:shd w:val="clear" w:color="auto" w:fill="E2EFD9" w:themeFill="accent6" w:themeFillTint="33"/>
          </w:tcPr>
          <w:p w:rsidR="00976A60" w:rsidRPr="008054DF" w:rsidRDefault="00976A60">
            <w:pPr>
              <w:rPr>
                <w:b/>
                <w:sz w:val="24"/>
                <w:szCs w:val="24"/>
              </w:rPr>
            </w:pPr>
            <w:r w:rsidRPr="008054DF">
              <w:rPr>
                <w:b/>
                <w:sz w:val="24"/>
                <w:szCs w:val="24"/>
              </w:rPr>
              <w:t>Supported</w:t>
            </w:r>
          </w:p>
        </w:tc>
      </w:tr>
      <w:tr w:rsidR="00976A60" w:rsidTr="00201547">
        <w:trPr>
          <w:cantSplit/>
          <w:tblHeader/>
        </w:trPr>
        <w:tc>
          <w:tcPr>
            <w:tcW w:w="710" w:type="dxa"/>
            <w:shd w:val="clear" w:color="auto" w:fill="FFF2CC" w:themeFill="accent4" w:themeFillTint="33"/>
          </w:tcPr>
          <w:p w:rsidR="00976A60" w:rsidRPr="00A065D0" w:rsidRDefault="00976A60">
            <w:pPr>
              <w:rPr>
                <w:b/>
              </w:rPr>
            </w:pPr>
            <w:r w:rsidRPr="00A065D0">
              <w:rPr>
                <w:b/>
              </w:rPr>
              <w:t>2</w:t>
            </w:r>
          </w:p>
        </w:tc>
        <w:tc>
          <w:tcPr>
            <w:tcW w:w="3078" w:type="dxa"/>
            <w:shd w:val="clear" w:color="auto" w:fill="FFF2CC" w:themeFill="accent4" w:themeFillTint="33"/>
          </w:tcPr>
          <w:p w:rsidR="00976A60" w:rsidRPr="008C5385" w:rsidRDefault="00976A60">
            <w:pPr>
              <w:rPr>
                <w:b/>
              </w:rPr>
            </w:pPr>
            <w:r>
              <w:rPr>
                <w:b/>
              </w:rPr>
              <w:t xml:space="preserve">Zone </w:t>
            </w:r>
            <w:r w:rsidRPr="008C5385">
              <w:rPr>
                <w:b/>
              </w:rPr>
              <w:t xml:space="preserve">IN2 Light Industrial Zone land use table </w:t>
            </w:r>
          </w:p>
          <w:p w:rsidR="00976A60" w:rsidRPr="008C5385" w:rsidRDefault="00976A60"/>
          <w:p w:rsidR="00976A60" w:rsidRPr="008C5385" w:rsidRDefault="00976A60">
            <w:r w:rsidRPr="008C5385">
              <w:t xml:space="preserve">Include animal boarding or training establishment, medical centre, vehicle repair station and vehicle body repair workshop </w:t>
            </w:r>
            <w:r w:rsidR="0076674A">
              <w:t xml:space="preserve">as permissible with consent. </w:t>
            </w:r>
          </w:p>
          <w:p w:rsidR="00976A60" w:rsidRPr="008C5385" w:rsidRDefault="00976A60">
            <w:r w:rsidRPr="008C5385">
              <w:t xml:space="preserve"> </w:t>
            </w:r>
          </w:p>
        </w:tc>
        <w:tc>
          <w:tcPr>
            <w:tcW w:w="1647" w:type="dxa"/>
            <w:shd w:val="clear" w:color="auto" w:fill="FFF2CC" w:themeFill="accent4" w:themeFillTint="33"/>
          </w:tcPr>
          <w:p w:rsidR="00976A60" w:rsidRPr="008C5385" w:rsidRDefault="00976A60">
            <w:r w:rsidRPr="008C5385">
              <w:t xml:space="preserve">Currently not permitted </w:t>
            </w:r>
          </w:p>
        </w:tc>
        <w:tc>
          <w:tcPr>
            <w:tcW w:w="1433" w:type="dxa"/>
            <w:shd w:val="clear" w:color="auto" w:fill="FFF2CC" w:themeFill="accent4" w:themeFillTint="33"/>
          </w:tcPr>
          <w:p w:rsidR="00976A60" w:rsidRPr="008C5385" w:rsidRDefault="00976A60">
            <w:r w:rsidRPr="008C5385">
              <w:t xml:space="preserve">Instrument </w:t>
            </w:r>
          </w:p>
        </w:tc>
        <w:tc>
          <w:tcPr>
            <w:tcW w:w="3481" w:type="dxa"/>
            <w:shd w:val="clear" w:color="auto" w:fill="FFF2CC" w:themeFill="accent4" w:themeFillTint="33"/>
          </w:tcPr>
          <w:p w:rsidR="00976A60" w:rsidRPr="008C5385" w:rsidRDefault="00976A60" w:rsidP="00E64723">
            <w:r w:rsidRPr="008C5385">
              <w:t>To ensure services meet the needs of the workforce</w:t>
            </w:r>
            <w:r>
              <w:t xml:space="preserve"> (approx. 7000 employees)</w:t>
            </w:r>
            <w:r w:rsidRPr="008C5385">
              <w:t xml:space="preserve"> in the Lane Cove West industrial area. </w:t>
            </w:r>
          </w:p>
        </w:tc>
        <w:tc>
          <w:tcPr>
            <w:tcW w:w="3543" w:type="dxa"/>
            <w:shd w:val="clear" w:color="auto" w:fill="FFF2CC" w:themeFill="accent4" w:themeFillTint="33"/>
          </w:tcPr>
          <w:p w:rsidR="00976A60" w:rsidRDefault="00976A60" w:rsidP="00512FF7">
            <w:pPr>
              <w:rPr>
                <w:sz w:val="24"/>
                <w:szCs w:val="24"/>
              </w:rPr>
            </w:pPr>
            <w:r>
              <w:rPr>
                <w:sz w:val="24"/>
                <w:szCs w:val="24"/>
              </w:rPr>
              <w:t xml:space="preserve">The amendment as proposed by Council, is supported by the Department subject to further information from Council to justify the need and suitability of the proposed additional uses in Zone IN2 Light Industrial. </w:t>
            </w:r>
          </w:p>
          <w:p w:rsidR="00976A60" w:rsidRPr="005F5C72" w:rsidRDefault="00976A60" w:rsidP="00512FF7">
            <w:pPr>
              <w:rPr>
                <w:sz w:val="24"/>
                <w:szCs w:val="24"/>
              </w:rPr>
            </w:pPr>
          </w:p>
        </w:tc>
        <w:tc>
          <w:tcPr>
            <w:tcW w:w="1460" w:type="dxa"/>
            <w:shd w:val="clear" w:color="auto" w:fill="FFF2CC" w:themeFill="accent4" w:themeFillTint="33"/>
          </w:tcPr>
          <w:p w:rsidR="00976A60" w:rsidRDefault="00976A60">
            <w:pPr>
              <w:rPr>
                <w:b/>
                <w:sz w:val="24"/>
                <w:szCs w:val="24"/>
              </w:rPr>
            </w:pPr>
            <w:r>
              <w:rPr>
                <w:b/>
                <w:sz w:val="24"/>
                <w:szCs w:val="24"/>
              </w:rPr>
              <w:t xml:space="preserve">Supported subject to further justification from Council. </w:t>
            </w:r>
          </w:p>
        </w:tc>
      </w:tr>
      <w:tr w:rsidR="00F35B1E" w:rsidTr="00F35B1E">
        <w:trPr>
          <w:cantSplit/>
          <w:tblHeader/>
        </w:trPr>
        <w:tc>
          <w:tcPr>
            <w:tcW w:w="710" w:type="dxa"/>
            <w:shd w:val="clear" w:color="auto" w:fill="FFF2CC" w:themeFill="accent4" w:themeFillTint="33"/>
          </w:tcPr>
          <w:p w:rsidR="00976A60" w:rsidRPr="00A065D0" w:rsidRDefault="00976A60">
            <w:pPr>
              <w:rPr>
                <w:b/>
              </w:rPr>
            </w:pPr>
            <w:r w:rsidRPr="00A065D0">
              <w:rPr>
                <w:b/>
              </w:rPr>
              <w:lastRenderedPageBreak/>
              <w:t>3</w:t>
            </w:r>
          </w:p>
        </w:tc>
        <w:tc>
          <w:tcPr>
            <w:tcW w:w="3078" w:type="dxa"/>
            <w:shd w:val="clear" w:color="auto" w:fill="FFF2CC" w:themeFill="accent4" w:themeFillTint="33"/>
          </w:tcPr>
          <w:p w:rsidR="00976A60" w:rsidRDefault="00976A60" w:rsidP="00A833BD">
            <w:pPr>
              <w:rPr>
                <w:b/>
              </w:rPr>
            </w:pPr>
            <w:r w:rsidRPr="008C5385">
              <w:rPr>
                <w:b/>
              </w:rPr>
              <w:t xml:space="preserve">Amend Cl. 4.1 Minimum Subdivision lot size </w:t>
            </w:r>
            <w:r w:rsidR="005856ED">
              <w:rPr>
                <w:b/>
              </w:rPr>
              <w:t xml:space="preserve">(4B) </w:t>
            </w:r>
            <w:r w:rsidRPr="008C5385">
              <w:t>as follows:</w:t>
            </w:r>
            <w:r>
              <w:rPr>
                <w:b/>
              </w:rPr>
              <w:t xml:space="preserve"> </w:t>
            </w:r>
          </w:p>
          <w:p w:rsidR="00976A60" w:rsidRPr="008C5385" w:rsidRDefault="005856ED" w:rsidP="00A833BD">
            <w:pPr>
              <w:ind w:left="317" w:hanging="317"/>
              <w:rPr>
                <w:rFonts w:eastAsia="Times New Roman" w:cs="Arial"/>
                <w:lang w:eastAsia="en-AU"/>
              </w:rPr>
            </w:pPr>
            <w:r>
              <w:rPr>
                <w:rFonts w:eastAsia="Times New Roman" w:cs="Arial"/>
                <w:lang w:val="en-US" w:eastAsia="en-AU"/>
              </w:rPr>
              <w:t xml:space="preserve"> </w:t>
            </w:r>
            <w:r w:rsidR="00976A60">
              <w:rPr>
                <w:rFonts w:eastAsia="Times New Roman" w:cs="Arial"/>
                <w:lang w:val="en-US" w:eastAsia="en-AU"/>
              </w:rPr>
              <w:t>(a</w:t>
            </w:r>
            <w:r w:rsidR="00976A60" w:rsidRPr="008C5385">
              <w:rPr>
                <w:rFonts w:eastAsia="Times New Roman" w:cs="Arial"/>
                <w:lang w:val="en-US" w:eastAsia="en-AU"/>
              </w:rPr>
              <w:t>) Despite any other provision of this Plan, development consent must not be granted to a development application for the subdivision of land on which development for the purpose of dual occupancy is erected or is proposed to be erected if the subdivision would result in each of the dwellings that comprise the dual occupancy being located on separate lots.”</w:t>
            </w:r>
          </w:p>
          <w:p w:rsidR="00976A60" w:rsidRDefault="00976A60" w:rsidP="00A833BD">
            <w:pPr>
              <w:spacing w:before="120"/>
              <w:ind w:left="175" w:hanging="175"/>
              <w:rPr>
                <w:b/>
              </w:rPr>
            </w:pPr>
            <w:r>
              <w:rPr>
                <w:rFonts w:eastAsia="Times New Roman" w:cs="Arial"/>
                <w:lang w:val="en-US" w:eastAsia="en-AU"/>
              </w:rPr>
              <w:t>(b</w:t>
            </w:r>
            <w:r w:rsidRPr="008C5385">
              <w:rPr>
                <w:rFonts w:eastAsia="Times New Roman" w:cs="Arial"/>
                <w:lang w:val="en-US" w:eastAsia="en-AU"/>
              </w:rPr>
              <w:t>) Subdivision of dual occupancies is to be excluded from the use of cl.4.6.</w:t>
            </w:r>
          </w:p>
          <w:p w:rsidR="00976A60" w:rsidRPr="008C5385" w:rsidRDefault="00976A60">
            <w:pPr>
              <w:rPr>
                <w:b/>
              </w:rPr>
            </w:pPr>
          </w:p>
        </w:tc>
        <w:tc>
          <w:tcPr>
            <w:tcW w:w="1647" w:type="dxa"/>
            <w:shd w:val="clear" w:color="auto" w:fill="FFF2CC" w:themeFill="accent4" w:themeFillTint="33"/>
          </w:tcPr>
          <w:p w:rsidR="00976A60" w:rsidRDefault="00976A60">
            <w:r>
              <w:t xml:space="preserve">New subclause </w:t>
            </w:r>
          </w:p>
          <w:p w:rsidR="00976A60" w:rsidRDefault="00976A60"/>
          <w:p w:rsidR="00976A60" w:rsidRDefault="00976A60"/>
          <w:p w:rsidR="00976A60" w:rsidRDefault="00976A60"/>
          <w:p w:rsidR="00976A60" w:rsidRDefault="00976A60"/>
          <w:p w:rsidR="00976A60" w:rsidRDefault="00976A60"/>
          <w:p w:rsidR="00976A60" w:rsidRDefault="00976A60"/>
          <w:p w:rsidR="00976A60" w:rsidRDefault="00976A60"/>
          <w:p w:rsidR="00976A60" w:rsidRDefault="00976A60"/>
          <w:p w:rsidR="00976A60" w:rsidRDefault="00976A60"/>
          <w:p w:rsidR="00976A60" w:rsidRDefault="00976A60"/>
          <w:p w:rsidR="00976A60" w:rsidRDefault="00976A60"/>
          <w:p w:rsidR="00976A60" w:rsidRDefault="00976A60"/>
          <w:p w:rsidR="00976A60" w:rsidRDefault="00976A60"/>
          <w:p w:rsidR="00976A60" w:rsidRDefault="00976A60"/>
          <w:p w:rsidR="00976A60" w:rsidRDefault="00976A60"/>
          <w:p w:rsidR="00976A60" w:rsidRDefault="00976A60"/>
          <w:p w:rsidR="00976A60" w:rsidRDefault="00976A60"/>
          <w:p w:rsidR="00976A60" w:rsidRDefault="00976A60"/>
          <w:p w:rsidR="00976A60" w:rsidRDefault="00976A60"/>
          <w:p w:rsidR="00976A60" w:rsidRPr="00577A92" w:rsidRDefault="00976A60"/>
        </w:tc>
        <w:tc>
          <w:tcPr>
            <w:tcW w:w="1433" w:type="dxa"/>
            <w:shd w:val="clear" w:color="auto" w:fill="FFF2CC" w:themeFill="accent4" w:themeFillTint="33"/>
          </w:tcPr>
          <w:p w:rsidR="00976A60" w:rsidRPr="00577A92" w:rsidRDefault="00976A60">
            <w:r>
              <w:t xml:space="preserve">Instrument </w:t>
            </w:r>
          </w:p>
        </w:tc>
        <w:tc>
          <w:tcPr>
            <w:tcW w:w="3481" w:type="dxa"/>
            <w:shd w:val="clear" w:color="auto" w:fill="FFF2CC" w:themeFill="accent4" w:themeFillTint="33"/>
          </w:tcPr>
          <w:p w:rsidR="00976A60" w:rsidRPr="00E64723" w:rsidRDefault="00976A60" w:rsidP="00E64723">
            <w:pPr>
              <w:rPr>
                <w:rFonts w:cs="Arial"/>
                <w:lang w:val="en-US"/>
              </w:rPr>
            </w:pPr>
            <w:r w:rsidRPr="00E64723">
              <w:rPr>
                <w:rFonts w:cs="Arial"/>
                <w:lang w:val="en-US"/>
              </w:rPr>
              <w:t>It is u</w:t>
            </w:r>
            <w:r>
              <w:rPr>
                <w:rFonts w:cs="Arial"/>
                <w:lang w:val="en-US"/>
              </w:rPr>
              <w:t>nderstood that definition of</w:t>
            </w:r>
            <w:r w:rsidRPr="00E64723">
              <w:rPr>
                <w:rFonts w:cs="Arial"/>
                <w:lang w:val="en-US"/>
              </w:rPr>
              <w:t xml:space="preserve"> ‘dual occupancy</w:t>
            </w:r>
            <w:r>
              <w:rPr>
                <w:rFonts w:cs="Arial"/>
                <w:lang w:val="en-US"/>
              </w:rPr>
              <w:t>’</w:t>
            </w:r>
            <w:r w:rsidRPr="00E64723">
              <w:rPr>
                <w:rFonts w:cs="Arial"/>
                <w:lang w:val="en-US"/>
              </w:rPr>
              <w:t xml:space="preserve"> in the SI LEP refers to 2 attached or detached dwellings on one lot of land. It does not include subdivision of the land. </w:t>
            </w:r>
          </w:p>
          <w:p w:rsidR="00976A60" w:rsidRPr="00EA170A" w:rsidRDefault="00976A60" w:rsidP="008C5385">
            <w:pPr>
              <w:rPr>
                <w:rFonts w:cs="Arial"/>
                <w:lang w:val="en-US"/>
              </w:rPr>
            </w:pPr>
          </w:p>
          <w:p w:rsidR="00976A60" w:rsidRDefault="00976A60" w:rsidP="00E64723">
            <w:pPr>
              <w:rPr>
                <w:rFonts w:cs="Arial"/>
                <w:lang w:val="en-US"/>
              </w:rPr>
            </w:pPr>
            <w:r w:rsidRPr="00E64723">
              <w:rPr>
                <w:rFonts w:cs="Arial"/>
                <w:lang w:val="en-US"/>
              </w:rPr>
              <w:t xml:space="preserve">The aim of this amendment is to clarify this situation for the purpose of a DA. </w:t>
            </w:r>
          </w:p>
          <w:p w:rsidR="00976A60" w:rsidRDefault="00976A60" w:rsidP="00E64723">
            <w:pPr>
              <w:rPr>
                <w:rFonts w:cs="Arial"/>
                <w:lang w:val="en-US"/>
              </w:rPr>
            </w:pPr>
          </w:p>
          <w:p w:rsidR="00976A60" w:rsidRPr="008C5385" w:rsidRDefault="00976A60" w:rsidP="005856ED">
            <w:pPr>
              <w:rPr>
                <w:b/>
              </w:rPr>
            </w:pPr>
          </w:p>
        </w:tc>
        <w:tc>
          <w:tcPr>
            <w:tcW w:w="3543" w:type="dxa"/>
            <w:shd w:val="clear" w:color="auto" w:fill="FFF2CC" w:themeFill="accent4" w:themeFillTint="33"/>
          </w:tcPr>
          <w:p w:rsidR="00976A60" w:rsidRPr="00C16FA6" w:rsidRDefault="00976A60" w:rsidP="005856ED">
            <w:pPr>
              <w:rPr>
                <w:sz w:val="24"/>
                <w:szCs w:val="24"/>
              </w:rPr>
            </w:pPr>
            <w:r>
              <w:rPr>
                <w:sz w:val="24"/>
                <w:szCs w:val="24"/>
              </w:rPr>
              <w:t xml:space="preserve">The amendment as proposed by Council, is supported by the Department </w:t>
            </w:r>
            <w:r w:rsidR="00961CB2">
              <w:rPr>
                <w:sz w:val="24"/>
                <w:szCs w:val="24"/>
              </w:rPr>
              <w:t>subje</w:t>
            </w:r>
            <w:r w:rsidR="0013466C">
              <w:rPr>
                <w:sz w:val="24"/>
                <w:szCs w:val="24"/>
              </w:rPr>
              <w:t xml:space="preserve">ct to variation. </w:t>
            </w:r>
            <w:r w:rsidR="005856ED">
              <w:rPr>
                <w:sz w:val="24"/>
                <w:szCs w:val="24"/>
              </w:rPr>
              <w:t xml:space="preserve">(4B) </w:t>
            </w:r>
            <w:r w:rsidR="0013466C">
              <w:rPr>
                <w:sz w:val="24"/>
                <w:szCs w:val="24"/>
              </w:rPr>
              <w:t>(a</w:t>
            </w:r>
            <w:r w:rsidR="00961CB2">
              <w:rPr>
                <w:sz w:val="24"/>
                <w:szCs w:val="24"/>
              </w:rPr>
              <w:t xml:space="preserve">) </w:t>
            </w:r>
            <w:r w:rsidR="0013466C">
              <w:rPr>
                <w:sz w:val="24"/>
                <w:szCs w:val="24"/>
              </w:rPr>
              <w:t>is effectively</w:t>
            </w:r>
            <w:bookmarkStart w:id="0" w:name="_GoBack"/>
            <w:bookmarkEnd w:id="0"/>
            <w:r w:rsidR="0013466C">
              <w:rPr>
                <w:sz w:val="24"/>
                <w:szCs w:val="24"/>
              </w:rPr>
              <w:t xml:space="preserve"> a prohibition clause. As a result (4B) (b) is not required.  </w:t>
            </w:r>
          </w:p>
        </w:tc>
        <w:tc>
          <w:tcPr>
            <w:tcW w:w="1460" w:type="dxa"/>
            <w:shd w:val="clear" w:color="auto" w:fill="FFF2CC" w:themeFill="accent4" w:themeFillTint="33"/>
          </w:tcPr>
          <w:p w:rsidR="00976A60" w:rsidRDefault="00961CB2">
            <w:pPr>
              <w:rPr>
                <w:b/>
                <w:sz w:val="24"/>
                <w:szCs w:val="24"/>
              </w:rPr>
            </w:pPr>
            <w:r>
              <w:rPr>
                <w:b/>
                <w:sz w:val="24"/>
                <w:szCs w:val="24"/>
              </w:rPr>
              <w:t>S</w:t>
            </w:r>
            <w:r w:rsidR="00976A60">
              <w:rPr>
                <w:b/>
                <w:sz w:val="24"/>
                <w:szCs w:val="24"/>
              </w:rPr>
              <w:t>upported</w:t>
            </w:r>
            <w:r>
              <w:rPr>
                <w:b/>
                <w:sz w:val="24"/>
                <w:szCs w:val="24"/>
              </w:rPr>
              <w:t xml:space="preserve"> with Variation</w:t>
            </w:r>
            <w:r w:rsidR="00976A60">
              <w:rPr>
                <w:b/>
                <w:sz w:val="24"/>
                <w:szCs w:val="24"/>
              </w:rPr>
              <w:t xml:space="preserve"> </w:t>
            </w:r>
          </w:p>
        </w:tc>
      </w:tr>
      <w:tr w:rsidR="00976A60" w:rsidTr="00201547">
        <w:trPr>
          <w:cantSplit/>
          <w:tblHeader/>
        </w:trPr>
        <w:tc>
          <w:tcPr>
            <w:tcW w:w="710" w:type="dxa"/>
            <w:shd w:val="clear" w:color="auto" w:fill="FFF2CC" w:themeFill="accent4" w:themeFillTint="33"/>
          </w:tcPr>
          <w:p w:rsidR="00976A60" w:rsidRPr="00A065D0" w:rsidRDefault="00976A60">
            <w:pPr>
              <w:rPr>
                <w:b/>
              </w:rPr>
            </w:pPr>
            <w:r w:rsidRPr="00A065D0">
              <w:rPr>
                <w:b/>
              </w:rPr>
              <w:lastRenderedPageBreak/>
              <w:t>4</w:t>
            </w:r>
          </w:p>
        </w:tc>
        <w:tc>
          <w:tcPr>
            <w:tcW w:w="3078" w:type="dxa"/>
            <w:shd w:val="clear" w:color="auto" w:fill="FFF2CC" w:themeFill="accent4" w:themeFillTint="33"/>
          </w:tcPr>
          <w:p w:rsidR="00976A60" w:rsidRDefault="00976A60">
            <w:pPr>
              <w:rPr>
                <w:b/>
              </w:rPr>
            </w:pPr>
            <w:r w:rsidRPr="001B5FA2">
              <w:rPr>
                <w:b/>
              </w:rPr>
              <w:t xml:space="preserve">Amend Cl. 4.3 </w:t>
            </w:r>
            <w:r>
              <w:rPr>
                <w:b/>
              </w:rPr>
              <w:t xml:space="preserve">Height of Buildings (1): </w:t>
            </w:r>
          </w:p>
          <w:p w:rsidR="00976A60" w:rsidRDefault="00976A60">
            <w:pPr>
              <w:rPr>
                <w:b/>
              </w:rPr>
            </w:pPr>
          </w:p>
          <w:p w:rsidR="00976A60" w:rsidRPr="00EA170A" w:rsidRDefault="00976A60">
            <w:r w:rsidRPr="00EA170A">
              <w:t xml:space="preserve">The objectives of this clause are as follows: </w:t>
            </w:r>
          </w:p>
          <w:p w:rsidR="00976A60" w:rsidRPr="00EA170A" w:rsidRDefault="00976A60" w:rsidP="00960737">
            <w:pPr>
              <w:pStyle w:val="ListParagraph"/>
              <w:numPr>
                <w:ilvl w:val="0"/>
                <w:numId w:val="15"/>
              </w:numPr>
              <w:spacing w:after="0" w:line="240" w:lineRule="auto"/>
              <w:ind w:left="317" w:hanging="284"/>
              <w:rPr>
                <w:rFonts w:eastAsia="Times New Roman" w:cs="Arial"/>
                <w:lang w:eastAsia="en-AU"/>
              </w:rPr>
            </w:pPr>
            <w:r w:rsidRPr="00EA170A">
              <w:rPr>
                <w:rFonts w:eastAsia="Times New Roman" w:cs="Arial"/>
                <w:lang w:val="en-US" w:eastAsia="en-AU"/>
              </w:rPr>
              <w:t xml:space="preserve">To </w:t>
            </w:r>
            <w:proofErr w:type="spellStart"/>
            <w:r w:rsidRPr="00EA170A">
              <w:rPr>
                <w:rFonts w:eastAsia="Times New Roman" w:cs="Arial"/>
                <w:strike/>
                <w:lang w:val="en-US" w:eastAsia="en-AU"/>
              </w:rPr>
              <w:t>minimise</w:t>
            </w:r>
            <w:proofErr w:type="spellEnd"/>
            <w:r w:rsidRPr="00EA170A">
              <w:rPr>
                <w:rFonts w:eastAsia="Times New Roman" w:cs="Arial"/>
                <w:strike/>
                <w:lang w:val="en-US" w:eastAsia="en-AU"/>
              </w:rPr>
              <w:t xml:space="preserve"> any overshadowing, loss of privacy</w:t>
            </w:r>
            <w:r w:rsidRPr="00EA170A">
              <w:rPr>
                <w:rFonts w:eastAsia="Times New Roman" w:cs="Arial"/>
                <w:lang w:val="en-US" w:eastAsia="en-AU"/>
              </w:rPr>
              <w:t xml:space="preserve"> maintain satisfactory solar access to existing buildings and public areas, and have regard to </w:t>
            </w:r>
            <w:r w:rsidRPr="00EA170A">
              <w:rPr>
                <w:rFonts w:eastAsia="Times New Roman" w:cs="Arial"/>
                <w:lang w:eastAsia="en-AU"/>
              </w:rPr>
              <w:t>privacy and visual impacts of development on neighbouring properties, particularly where zones meet, and</w:t>
            </w:r>
          </w:p>
          <w:p w:rsidR="00976A60" w:rsidRPr="00EA170A" w:rsidRDefault="00976A60" w:rsidP="00960737">
            <w:pPr>
              <w:pStyle w:val="ListParagraph"/>
              <w:numPr>
                <w:ilvl w:val="0"/>
                <w:numId w:val="15"/>
              </w:numPr>
              <w:spacing w:after="0" w:line="240" w:lineRule="auto"/>
              <w:ind w:left="317" w:hanging="284"/>
              <w:rPr>
                <w:rFonts w:cs="Arial"/>
                <w:strike/>
              </w:rPr>
            </w:pPr>
            <w:r w:rsidRPr="00EA170A">
              <w:rPr>
                <w:rFonts w:eastAsia="Times New Roman" w:cs="Arial"/>
                <w:strike/>
                <w:lang w:eastAsia="en-AU"/>
              </w:rPr>
              <w:t>To maximise sunlight for the public domain, and</w:t>
            </w:r>
          </w:p>
          <w:p w:rsidR="00976A60" w:rsidRDefault="00976A60" w:rsidP="00960737">
            <w:pPr>
              <w:ind w:left="317" w:hanging="284"/>
              <w:rPr>
                <w:rFonts w:eastAsia="Times New Roman" w:cs="Arial"/>
                <w:lang w:eastAsia="en-AU"/>
              </w:rPr>
            </w:pPr>
            <w:r w:rsidRPr="00EA170A">
              <w:rPr>
                <w:rFonts w:eastAsia="Times New Roman" w:cs="Arial"/>
                <w:strike/>
                <w:lang w:eastAsia="en-AU"/>
              </w:rPr>
              <w:t>(c)</w:t>
            </w:r>
            <w:r w:rsidRPr="00EA170A">
              <w:rPr>
                <w:rFonts w:eastAsia="Times New Roman" w:cs="Arial"/>
                <w:lang w:eastAsia="en-AU"/>
              </w:rPr>
              <w:t xml:space="preserve"> (</w:t>
            </w:r>
            <w:proofErr w:type="gramStart"/>
            <w:r w:rsidRPr="00EA170A">
              <w:rPr>
                <w:rFonts w:eastAsia="Times New Roman" w:cs="Arial"/>
                <w:lang w:eastAsia="en-AU"/>
              </w:rPr>
              <w:t>b</w:t>
            </w:r>
            <w:proofErr w:type="gramEnd"/>
            <w:r w:rsidRPr="00EA170A">
              <w:rPr>
                <w:rFonts w:eastAsia="Times New Roman" w:cs="Arial"/>
                <w:lang w:eastAsia="en-AU"/>
              </w:rPr>
              <w:t>) To relate development to topography.</w:t>
            </w:r>
          </w:p>
          <w:p w:rsidR="00976A60" w:rsidRPr="001B5FA2" w:rsidRDefault="00976A60">
            <w:pPr>
              <w:rPr>
                <w:b/>
              </w:rPr>
            </w:pPr>
          </w:p>
        </w:tc>
        <w:tc>
          <w:tcPr>
            <w:tcW w:w="1647" w:type="dxa"/>
            <w:shd w:val="clear" w:color="auto" w:fill="FFF2CC" w:themeFill="accent4" w:themeFillTint="33"/>
          </w:tcPr>
          <w:p w:rsidR="00976A60" w:rsidRPr="00DA4DF7" w:rsidRDefault="00976A60" w:rsidP="00DA4DF7">
            <w:pPr>
              <w:shd w:val="clear" w:color="auto" w:fill="FFFFFF"/>
              <w:spacing w:before="160" w:after="200"/>
              <w:ind w:left="115" w:hanging="340"/>
            </w:pPr>
            <w:bookmarkStart w:id="1" w:name="/part4/cl4.3"/>
            <w:bookmarkEnd w:id="1"/>
          </w:p>
        </w:tc>
        <w:tc>
          <w:tcPr>
            <w:tcW w:w="1433" w:type="dxa"/>
            <w:shd w:val="clear" w:color="auto" w:fill="FFF2CC" w:themeFill="accent4" w:themeFillTint="33"/>
          </w:tcPr>
          <w:p w:rsidR="00976A60" w:rsidRPr="00DA4DF7" w:rsidRDefault="00976A60">
            <w:pPr>
              <w:rPr>
                <w:sz w:val="24"/>
                <w:szCs w:val="24"/>
              </w:rPr>
            </w:pPr>
            <w:r w:rsidRPr="00DA4DF7">
              <w:rPr>
                <w:sz w:val="24"/>
                <w:szCs w:val="24"/>
              </w:rPr>
              <w:t xml:space="preserve">Instrument </w:t>
            </w:r>
          </w:p>
        </w:tc>
        <w:tc>
          <w:tcPr>
            <w:tcW w:w="3481" w:type="dxa"/>
            <w:shd w:val="clear" w:color="auto" w:fill="FFF2CC" w:themeFill="accent4" w:themeFillTint="33"/>
          </w:tcPr>
          <w:p w:rsidR="00976A60" w:rsidRDefault="00976A60" w:rsidP="00E64723">
            <w:r w:rsidRPr="00A833BD">
              <w:t>Council is seeking a more practical and realistic height objective in relation to overshadowing, loss of privacy and the visual impact of development on neighbouring properties, especially in an area of transition to higher density.</w:t>
            </w:r>
          </w:p>
          <w:p w:rsidR="00976A60" w:rsidRDefault="00976A60" w:rsidP="005C21F1"/>
          <w:p w:rsidR="00976A60" w:rsidRPr="00A833BD" w:rsidRDefault="00976A60"/>
        </w:tc>
        <w:tc>
          <w:tcPr>
            <w:tcW w:w="3543" w:type="dxa"/>
            <w:shd w:val="clear" w:color="auto" w:fill="FFF2CC" w:themeFill="accent4" w:themeFillTint="33"/>
          </w:tcPr>
          <w:p w:rsidR="00603605" w:rsidRDefault="00976A60" w:rsidP="00603605">
            <w:r w:rsidRPr="00407C40">
              <w:t xml:space="preserve">The amendment as proposed by Council, to amend the objective of Cl. 4.3 is not supported. The revised wording strongly favours new development at the expense of its impact on existing properties.  </w:t>
            </w:r>
          </w:p>
          <w:p w:rsidR="00603605" w:rsidRDefault="00603605" w:rsidP="00603605"/>
          <w:p w:rsidR="00603605" w:rsidRPr="00407C40" w:rsidRDefault="00603605" w:rsidP="00603605">
            <w:pPr>
              <w:rPr>
                <w:b/>
                <w:sz w:val="24"/>
                <w:szCs w:val="24"/>
              </w:rPr>
            </w:pPr>
            <w:r>
              <w:t xml:space="preserve">Council is required to strengthen the proposed amendment in relation to amenity and overshadowing impacts of new development on existing properties. </w:t>
            </w:r>
          </w:p>
          <w:p w:rsidR="00976A60" w:rsidRPr="00407C40" w:rsidRDefault="00976A60" w:rsidP="00603605">
            <w:pPr>
              <w:pStyle w:val="ListParagraph"/>
              <w:spacing w:after="0" w:line="240" w:lineRule="auto"/>
              <w:ind w:left="355"/>
              <w:rPr>
                <w:b/>
                <w:sz w:val="24"/>
                <w:szCs w:val="24"/>
              </w:rPr>
            </w:pPr>
          </w:p>
        </w:tc>
        <w:tc>
          <w:tcPr>
            <w:tcW w:w="1460" w:type="dxa"/>
            <w:shd w:val="clear" w:color="auto" w:fill="FFF2CC" w:themeFill="accent4" w:themeFillTint="33"/>
          </w:tcPr>
          <w:p w:rsidR="00976A60" w:rsidRPr="00EA170A" w:rsidRDefault="00976A60">
            <w:pPr>
              <w:rPr>
                <w:b/>
              </w:rPr>
            </w:pPr>
            <w:r w:rsidRPr="00EA170A">
              <w:rPr>
                <w:b/>
              </w:rPr>
              <w:t xml:space="preserve">Supported with Variation </w:t>
            </w:r>
          </w:p>
        </w:tc>
      </w:tr>
      <w:tr w:rsidR="00976A60" w:rsidTr="00201547">
        <w:trPr>
          <w:cantSplit/>
          <w:tblHeader/>
        </w:trPr>
        <w:tc>
          <w:tcPr>
            <w:tcW w:w="710" w:type="dxa"/>
            <w:shd w:val="clear" w:color="auto" w:fill="FFF2CC" w:themeFill="accent4" w:themeFillTint="33"/>
          </w:tcPr>
          <w:p w:rsidR="00976A60" w:rsidRPr="00A065D0" w:rsidRDefault="00976A60">
            <w:pPr>
              <w:rPr>
                <w:b/>
                <w:sz w:val="24"/>
                <w:szCs w:val="24"/>
              </w:rPr>
            </w:pPr>
            <w:r w:rsidRPr="00A065D0">
              <w:rPr>
                <w:b/>
                <w:sz w:val="24"/>
                <w:szCs w:val="24"/>
              </w:rPr>
              <w:lastRenderedPageBreak/>
              <w:t xml:space="preserve">5. </w:t>
            </w:r>
          </w:p>
        </w:tc>
        <w:tc>
          <w:tcPr>
            <w:tcW w:w="3078" w:type="dxa"/>
            <w:shd w:val="clear" w:color="auto" w:fill="FFF2CC" w:themeFill="accent4" w:themeFillTint="33"/>
          </w:tcPr>
          <w:p w:rsidR="00976A60" w:rsidRDefault="00976A60">
            <w:r w:rsidRPr="009D7D18">
              <w:rPr>
                <w:b/>
              </w:rPr>
              <w:t>Amend Cl. 4.4 Floor Space Ratio</w:t>
            </w:r>
            <w:r>
              <w:rPr>
                <w:b/>
              </w:rPr>
              <w:t xml:space="preserve"> (2B) </w:t>
            </w:r>
            <w:r w:rsidRPr="009D7D18">
              <w:t>as follows:</w:t>
            </w:r>
          </w:p>
          <w:p w:rsidR="00976A60" w:rsidRDefault="00976A60"/>
          <w:p w:rsidR="00976A60" w:rsidRDefault="00976A60">
            <w:r>
              <w:t xml:space="preserve">If a lot is a battle-axe lot or other lot with an access handle, the area of the access handle is not to be included in the lot size for the purpose of floor space ratio calculation. </w:t>
            </w:r>
          </w:p>
          <w:p w:rsidR="00976A60" w:rsidRPr="009D7D18" w:rsidRDefault="00976A60">
            <w:pPr>
              <w:rPr>
                <w:b/>
              </w:rPr>
            </w:pPr>
          </w:p>
        </w:tc>
        <w:tc>
          <w:tcPr>
            <w:tcW w:w="1647" w:type="dxa"/>
            <w:shd w:val="clear" w:color="auto" w:fill="FFF2CC" w:themeFill="accent4" w:themeFillTint="33"/>
          </w:tcPr>
          <w:p w:rsidR="00976A60" w:rsidRPr="009D7D18" w:rsidRDefault="00976A60">
            <w:pPr>
              <w:rPr>
                <w:sz w:val="24"/>
                <w:szCs w:val="24"/>
              </w:rPr>
            </w:pPr>
            <w:r w:rsidRPr="009D7D18">
              <w:rPr>
                <w:sz w:val="24"/>
                <w:szCs w:val="24"/>
              </w:rPr>
              <w:t xml:space="preserve">New subclause </w:t>
            </w:r>
          </w:p>
        </w:tc>
        <w:tc>
          <w:tcPr>
            <w:tcW w:w="1433" w:type="dxa"/>
            <w:shd w:val="clear" w:color="auto" w:fill="FFF2CC" w:themeFill="accent4" w:themeFillTint="33"/>
          </w:tcPr>
          <w:p w:rsidR="00976A60" w:rsidRPr="009D7D18" w:rsidRDefault="00976A60">
            <w:pPr>
              <w:rPr>
                <w:sz w:val="24"/>
                <w:szCs w:val="24"/>
              </w:rPr>
            </w:pPr>
            <w:r w:rsidRPr="009D7D18">
              <w:rPr>
                <w:sz w:val="24"/>
                <w:szCs w:val="24"/>
              </w:rPr>
              <w:t xml:space="preserve">Instrument </w:t>
            </w:r>
          </w:p>
        </w:tc>
        <w:tc>
          <w:tcPr>
            <w:tcW w:w="3481" w:type="dxa"/>
            <w:shd w:val="clear" w:color="auto" w:fill="FFF2CC" w:themeFill="accent4" w:themeFillTint="33"/>
          </w:tcPr>
          <w:p w:rsidR="00976A60" w:rsidRDefault="00976A60" w:rsidP="00E64723">
            <w:r w:rsidRPr="002914D7">
              <w:t xml:space="preserve">Council ‘s aim is to ensure a house is built in better proportion to a lot  </w:t>
            </w:r>
            <w:r>
              <w:t xml:space="preserve">and neighbouring lots </w:t>
            </w:r>
            <w:r w:rsidRPr="002914D7">
              <w:t>by only including the developable area in the FSR calculation.</w:t>
            </w:r>
          </w:p>
          <w:p w:rsidR="00976A60" w:rsidRPr="002914D7" w:rsidRDefault="00976A60" w:rsidP="00E64723"/>
          <w:p w:rsidR="00976A60" w:rsidRPr="00E64723" w:rsidRDefault="00976A60" w:rsidP="00E64723">
            <w:pPr>
              <w:rPr>
                <w:b/>
                <w:sz w:val="24"/>
                <w:szCs w:val="24"/>
              </w:rPr>
            </w:pPr>
            <w:r w:rsidRPr="002914D7">
              <w:t xml:space="preserve">Willoughby LEP 2012 has a similar provision for </w:t>
            </w:r>
            <w:r w:rsidRPr="00E64723">
              <w:rPr>
                <w:color w:val="000000"/>
                <w:lang w:val="en"/>
              </w:rPr>
              <w:t xml:space="preserve">Zone R2 Low Density Residential and Zone E4 Environmental Living. </w:t>
            </w:r>
          </w:p>
        </w:tc>
        <w:tc>
          <w:tcPr>
            <w:tcW w:w="3543" w:type="dxa"/>
            <w:shd w:val="clear" w:color="auto" w:fill="FFF2CC" w:themeFill="accent4" w:themeFillTint="33"/>
          </w:tcPr>
          <w:p w:rsidR="00976A60" w:rsidRPr="002914D7" w:rsidRDefault="00976A60">
            <w:r w:rsidRPr="002914D7">
              <w:t xml:space="preserve">The amendment as proposed by Council, to amend Cl. 4.4 is partially supported. Following clarification from Council, Cl. (2B) is intended to apply to the E4 Environmental Living, R2 Low Density Residential, R3 Medium Density Residential and R4 High Density Residential Zones. </w:t>
            </w:r>
          </w:p>
          <w:p w:rsidR="00976A60" w:rsidRPr="002914D7" w:rsidRDefault="00976A60">
            <w:r w:rsidRPr="002914D7">
              <w:t xml:space="preserve">Cl. (2B) should read as follows: </w:t>
            </w:r>
          </w:p>
          <w:p w:rsidR="00976A60" w:rsidRDefault="00976A60" w:rsidP="002914D7">
            <w:pPr>
              <w:rPr>
                <w:b/>
              </w:rPr>
            </w:pPr>
            <w:r w:rsidRPr="002914D7">
              <w:rPr>
                <w:b/>
              </w:rPr>
              <w:t xml:space="preserve">If a lot is a battle-axe lot or other lot with an access handle in Zone R2 Low Density Residential, Zone R3 Medium Density Residential, Zone R4 High Density Residential and Zone E4 Environmental Living the area of the access handle is not to be included in the lot size for the purpose of floor space ratio calculation. </w:t>
            </w:r>
          </w:p>
          <w:p w:rsidR="00976A60" w:rsidRPr="003E3771" w:rsidRDefault="00976A60" w:rsidP="002914D7">
            <w:pPr>
              <w:rPr>
                <w:sz w:val="24"/>
                <w:szCs w:val="24"/>
              </w:rPr>
            </w:pPr>
          </w:p>
        </w:tc>
        <w:tc>
          <w:tcPr>
            <w:tcW w:w="1460" w:type="dxa"/>
            <w:shd w:val="clear" w:color="auto" w:fill="FFF2CC" w:themeFill="accent4" w:themeFillTint="33"/>
          </w:tcPr>
          <w:p w:rsidR="00976A60" w:rsidRPr="00EA170A" w:rsidRDefault="00976A60">
            <w:pPr>
              <w:rPr>
                <w:b/>
              </w:rPr>
            </w:pPr>
            <w:r w:rsidRPr="00EA170A">
              <w:rPr>
                <w:b/>
              </w:rPr>
              <w:t>Supported with Variation</w:t>
            </w:r>
          </w:p>
        </w:tc>
      </w:tr>
      <w:tr w:rsidR="00976A60" w:rsidTr="00201547">
        <w:trPr>
          <w:cantSplit/>
          <w:tblHeader/>
        </w:trPr>
        <w:tc>
          <w:tcPr>
            <w:tcW w:w="710" w:type="dxa"/>
            <w:shd w:val="clear" w:color="auto" w:fill="FFF2CC" w:themeFill="accent4" w:themeFillTint="33"/>
          </w:tcPr>
          <w:p w:rsidR="00976A60" w:rsidRPr="009D7D18" w:rsidRDefault="00976A60">
            <w:pPr>
              <w:rPr>
                <w:sz w:val="24"/>
                <w:szCs w:val="24"/>
              </w:rPr>
            </w:pPr>
            <w:r w:rsidRPr="00A065D0">
              <w:rPr>
                <w:b/>
                <w:sz w:val="24"/>
                <w:szCs w:val="24"/>
              </w:rPr>
              <w:t>6</w:t>
            </w:r>
            <w:r w:rsidRPr="009D7D18">
              <w:rPr>
                <w:sz w:val="24"/>
                <w:szCs w:val="24"/>
              </w:rPr>
              <w:t xml:space="preserve">. </w:t>
            </w:r>
          </w:p>
        </w:tc>
        <w:tc>
          <w:tcPr>
            <w:tcW w:w="3078" w:type="dxa"/>
            <w:shd w:val="clear" w:color="auto" w:fill="FFF2CC" w:themeFill="accent4" w:themeFillTint="33"/>
          </w:tcPr>
          <w:p w:rsidR="00976A60" w:rsidRPr="00EA170A" w:rsidRDefault="00976A60" w:rsidP="00A34DC8">
            <w:r w:rsidRPr="00EA170A">
              <w:rPr>
                <w:b/>
              </w:rPr>
              <w:t xml:space="preserve">Adopt Cl. 5.3 of the SI LEP </w:t>
            </w:r>
            <w:r w:rsidRPr="00B21957">
              <w:t xml:space="preserve">with </w:t>
            </w:r>
            <w:r>
              <w:t xml:space="preserve">subclause (2) to read </w:t>
            </w:r>
            <w:r w:rsidRPr="00EA170A">
              <w:t>as follows:</w:t>
            </w:r>
          </w:p>
          <w:p w:rsidR="00976A60" w:rsidRPr="00EA170A" w:rsidRDefault="00976A60" w:rsidP="00A34DC8"/>
          <w:p w:rsidR="00976A60" w:rsidRPr="00B21957" w:rsidRDefault="00976A60" w:rsidP="00A33131">
            <w:pPr>
              <w:rPr>
                <w:i/>
                <w:color w:val="365F91"/>
                <w:lang w:val="en"/>
              </w:rPr>
            </w:pPr>
            <w:r w:rsidRPr="00EA170A">
              <w:rPr>
                <w:rFonts w:cs="Arial"/>
              </w:rPr>
              <w:t xml:space="preserve">This clause applies to so much of any land that is within the relevant distance of a boundary between any 2 zones. The relevant distance is </w:t>
            </w:r>
            <w:r w:rsidRPr="00B21957">
              <w:rPr>
                <w:rFonts w:cs="Arial"/>
                <w:i/>
              </w:rPr>
              <w:t>15 metres.</w:t>
            </w:r>
          </w:p>
          <w:p w:rsidR="00976A60" w:rsidRPr="00B21957" w:rsidRDefault="00976A60" w:rsidP="00A34DC8">
            <w:pPr>
              <w:rPr>
                <w:i/>
              </w:rPr>
            </w:pPr>
          </w:p>
          <w:p w:rsidR="00976A60" w:rsidRDefault="00976A60" w:rsidP="00A34DC8">
            <w:pPr>
              <w:rPr>
                <w:b/>
                <w:sz w:val="24"/>
                <w:szCs w:val="24"/>
              </w:rPr>
            </w:pPr>
          </w:p>
        </w:tc>
        <w:tc>
          <w:tcPr>
            <w:tcW w:w="1647" w:type="dxa"/>
            <w:shd w:val="clear" w:color="auto" w:fill="FFF2CC" w:themeFill="accent4" w:themeFillTint="33"/>
          </w:tcPr>
          <w:p w:rsidR="00976A60" w:rsidRPr="00EA170A" w:rsidRDefault="00976A60" w:rsidP="00B21957">
            <w:r w:rsidRPr="00EA170A">
              <w:t xml:space="preserve">New </w:t>
            </w:r>
            <w:r>
              <w:t>clause</w:t>
            </w:r>
          </w:p>
        </w:tc>
        <w:tc>
          <w:tcPr>
            <w:tcW w:w="1433" w:type="dxa"/>
            <w:shd w:val="clear" w:color="auto" w:fill="FFF2CC" w:themeFill="accent4" w:themeFillTint="33"/>
          </w:tcPr>
          <w:p w:rsidR="00976A60" w:rsidRPr="00EA170A" w:rsidRDefault="00976A60">
            <w:r w:rsidRPr="00EA170A">
              <w:t xml:space="preserve">Instrument </w:t>
            </w:r>
          </w:p>
        </w:tc>
        <w:tc>
          <w:tcPr>
            <w:tcW w:w="3481" w:type="dxa"/>
            <w:shd w:val="clear" w:color="auto" w:fill="FFF2CC" w:themeFill="accent4" w:themeFillTint="33"/>
          </w:tcPr>
          <w:p w:rsidR="00976A60" w:rsidRPr="00EA170A" w:rsidRDefault="00976A60" w:rsidP="00E64723">
            <w:r w:rsidRPr="00EA170A">
              <w:t xml:space="preserve">Council’s aim is to cover a potential situation where a development in Zone B4 may seek to develop a laneway in the adjacent Zone B3, with part of the new building over the laneway. </w:t>
            </w:r>
          </w:p>
          <w:p w:rsidR="00976A60" w:rsidRDefault="00976A60">
            <w:pPr>
              <w:rPr>
                <w:b/>
                <w:sz w:val="24"/>
                <w:szCs w:val="24"/>
              </w:rPr>
            </w:pPr>
          </w:p>
        </w:tc>
        <w:tc>
          <w:tcPr>
            <w:tcW w:w="3543" w:type="dxa"/>
            <w:shd w:val="clear" w:color="auto" w:fill="FFF2CC" w:themeFill="accent4" w:themeFillTint="33"/>
          </w:tcPr>
          <w:p w:rsidR="00976A60" w:rsidRPr="00EA170A" w:rsidRDefault="00976A60" w:rsidP="0085479C">
            <w:r w:rsidRPr="00EA170A">
              <w:t xml:space="preserve">The amendment </w:t>
            </w:r>
            <w:r>
              <w:t xml:space="preserve">as </w:t>
            </w:r>
            <w:r w:rsidRPr="00EA170A">
              <w:t xml:space="preserve">proposed by Council, to adopt Cl. 5.3 (2) of the SI LEP is partially supported. Following clarification from Council, Cl. 5.3 (2) is intended to apply to land between Zone B3 Commercial Core and Zone B4 Mixed Use. </w:t>
            </w:r>
          </w:p>
          <w:p w:rsidR="00976A60" w:rsidRDefault="00976A60" w:rsidP="0085479C">
            <w:pPr>
              <w:rPr>
                <w:sz w:val="24"/>
                <w:szCs w:val="24"/>
              </w:rPr>
            </w:pPr>
          </w:p>
          <w:p w:rsidR="00976A60" w:rsidRPr="00B21957" w:rsidRDefault="00976A60" w:rsidP="0085479C">
            <w:r w:rsidRPr="00B21957">
              <w:t>Cl. 5.3 of the SI LEP  should be adopted in its entirety with subclause (2) to read as follows:</w:t>
            </w:r>
          </w:p>
          <w:p w:rsidR="00976A60" w:rsidRPr="00EA170A" w:rsidRDefault="00976A60" w:rsidP="00EA170A">
            <w:pPr>
              <w:rPr>
                <w:b/>
                <w:color w:val="365F91"/>
                <w:lang w:val="en"/>
              </w:rPr>
            </w:pPr>
            <w:r w:rsidRPr="00EA170A">
              <w:rPr>
                <w:rFonts w:cs="Arial"/>
                <w:b/>
              </w:rPr>
              <w:t>This clause applies to so much of any land that is within the relevant distance of a boundary between Zone B3 Commercial Core and Zone B4 Mixed Use. The relevant distance is 15 metres.</w:t>
            </w:r>
          </w:p>
          <w:p w:rsidR="00976A60" w:rsidRPr="0085479C" w:rsidRDefault="00976A60" w:rsidP="0085479C">
            <w:pPr>
              <w:rPr>
                <w:sz w:val="24"/>
                <w:szCs w:val="24"/>
              </w:rPr>
            </w:pPr>
          </w:p>
        </w:tc>
        <w:tc>
          <w:tcPr>
            <w:tcW w:w="1460" w:type="dxa"/>
            <w:shd w:val="clear" w:color="auto" w:fill="FFF2CC" w:themeFill="accent4" w:themeFillTint="33"/>
          </w:tcPr>
          <w:p w:rsidR="00976A60" w:rsidRPr="00F52B37" w:rsidRDefault="00976A60">
            <w:pPr>
              <w:rPr>
                <w:b/>
              </w:rPr>
            </w:pPr>
            <w:r w:rsidRPr="00F52B37">
              <w:rPr>
                <w:b/>
              </w:rPr>
              <w:t>Supported with Variation</w:t>
            </w:r>
          </w:p>
        </w:tc>
      </w:tr>
      <w:tr w:rsidR="00976A60" w:rsidTr="00BB17FA">
        <w:trPr>
          <w:cantSplit/>
          <w:tblHeader/>
        </w:trPr>
        <w:tc>
          <w:tcPr>
            <w:tcW w:w="710" w:type="dxa"/>
            <w:shd w:val="clear" w:color="auto" w:fill="E2EFD9" w:themeFill="accent6" w:themeFillTint="33"/>
          </w:tcPr>
          <w:p w:rsidR="00976A60" w:rsidRDefault="00976A60">
            <w:pPr>
              <w:rPr>
                <w:b/>
                <w:sz w:val="24"/>
                <w:szCs w:val="24"/>
              </w:rPr>
            </w:pPr>
            <w:r>
              <w:rPr>
                <w:b/>
                <w:sz w:val="24"/>
                <w:szCs w:val="24"/>
              </w:rPr>
              <w:lastRenderedPageBreak/>
              <w:t xml:space="preserve"> 7</w:t>
            </w:r>
          </w:p>
        </w:tc>
        <w:tc>
          <w:tcPr>
            <w:tcW w:w="3078" w:type="dxa"/>
            <w:shd w:val="clear" w:color="auto" w:fill="E2EFD9" w:themeFill="accent6" w:themeFillTint="33"/>
          </w:tcPr>
          <w:p w:rsidR="00976A60" w:rsidRDefault="00976A60" w:rsidP="00D5382D">
            <w:r w:rsidRPr="009D7D18">
              <w:rPr>
                <w:b/>
              </w:rPr>
              <w:t>A</w:t>
            </w:r>
            <w:r>
              <w:rPr>
                <w:b/>
              </w:rPr>
              <w:t xml:space="preserve">mend Cl. 6.1 Acid Sulphate Soils (6) of the SI LEP </w:t>
            </w:r>
            <w:r w:rsidRPr="009D7D18">
              <w:t>as follows:</w:t>
            </w:r>
          </w:p>
          <w:p w:rsidR="00976A60" w:rsidRDefault="00976A60" w:rsidP="00BB17FA">
            <w:pPr>
              <w:shd w:val="clear" w:color="auto" w:fill="E2EFD9" w:themeFill="accent6" w:themeFillTint="33"/>
              <w:ind w:hanging="400"/>
              <w:rPr>
                <w:rFonts w:ascii="Times New Roman" w:eastAsia="Times New Roman" w:hAnsi="Times New Roman" w:cs="Times New Roman"/>
                <w:color w:val="000000"/>
                <w:sz w:val="24"/>
                <w:szCs w:val="24"/>
                <w:lang w:val="en" w:eastAsia="en-AU"/>
              </w:rPr>
            </w:pPr>
          </w:p>
          <w:p w:rsidR="00976A60" w:rsidRPr="00D5382D" w:rsidRDefault="00976A60" w:rsidP="00BB17FA">
            <w:pPr>
              <w:shd w:val="clear" w:color="auto" w:fill="E2EFD9" w:themeFill="accent6" w:themeFillTint="33"/>
              <w:ind w:hanging="400"/>
              <w:rPr>
                <w:rFonts w:eastAsia="Times New Roman" w:cs="Times New Roman"/>
                <w:color w:val="000000"/>
                <w:lang w:val="en" w:eastAsia="en-AU"/>
              </w:rPr>
            </w:pPr>
            <w:r>
              <w:rPr>
                <w:rFonts w:ascii="Times New Roman" w:eastAsia="Times New Roman" w:hAnsi="Times New Roman" w:cs="Times New Roman"/>
                <w:color w:val="000000"/>
                <w:sz w:val="24"/>
                <w:szCs w:val="24"/>
                <w:lang w:val="en" w:eastAsia="en-AU"/>
              </w:rPr>
              <w:t xml:space="preserve">       </w:t>
            </w:r>
            <w:r w:rsidRPr="00D5382D">
              <w:rPr>
                <w:rFonts w:eastAsia="Times New Roman" w:cs="Times New Roman"/>
                <w:color w:val="000000"/>
                <w:lang w:val="en" w:eastAsia="en-AU"/>
              </w:rPr>
              <w:t xml:space="preserve">Despite </w:t>
            </w:r>
            <w:proofErr w:type="spellStart"/>
            <w:r w:rsidRPr="00D5382D">
              <w:rPr>
                <w:rFonts w:eastAsia="Times New Roman" w:cs="Times New Roman"/>
                <w:color w:val="000000"/>
                <w:lang w:val="en" w:eastAsia="en-AU"/>
              </w:rPr>
              <w:t>subclause</w:t>
            </w:r>
            <w:proofErr w:type="spellEnd"/>
            <w:r w:rsidRPr="00D5382D">
              <w:rPr>
                <w:rFonts w:eastAsia="Times New Roman" w:cs="Times New Roman"/>
                <w:color w:val="000000"/>
                <w:lang w:val="en" w:eastAsia="en-AU"/>
              </w:rPr>
              <w:t xml:space="preserve"> (2), development consent is not required under this clause to carry out any works if:</w:t>
            </w:r>
          </w:p>
          <w:p w:rsidR="00976A60" w:rsidRPr="00D5382D" w:rsidRDefault="00976A60" w:rsidP="00BB17FA">
            <w:pPr>
              <w:pStyle w:val="ListParagraph"/>
              <w:numPr>
                <w:ilvl w:val="0"/>
                <w:numId w:val="18"/>
              </w:numPr>
              <w:shd w:val="clear" w:color="auto" w:fill="E2EFD9" w:themeFill="accent6" w:themeFillTint="33"/>
              <w:spacing w:after="0" w:line="240" w:lineRule="auto"/>
              <w:ind w:left="33"/>
              <w:rPr>
                <w:rFonts w:eastAsia="Times New Roman" w:cs="Times New Roman"/>
                <w:color w:val="000000"/>
                <w:lang w:val="en" w:eastAsia="en-AU"/>
              </w:rPr>
            </w:pPr>
            <w:r>
              <w:rPr>
                <w:rFonts w:eastAsia="Times New Roman" w:cs="Times New Roman"/>
                <w:color w:val="000000"/>
                <w:lang w:val="en" w:eastAsia="en-AU"/>
              </w:rPr>
              <w:t xml:space="preserve">a) </w:t>
            </w:r>
            <w:r w:rsidRPr="00D5382D">
              <w:rPr>
                <w:rFonts w:eastAsia="Times New Roman" w:cs="Times New Roman"/>
                <w:color w:val="000000"/>
                <w:lang w:val="en" w:eastAsia="en-AU"/>
              </w:rPr>
              <w:t xml:space="preserve">the works involve the disturbance of less than 1 </w:t>
            </w:r>
            <w:proofErr w:type="spellStart"/>
            <w:r w:rsidRPr="00D5382D">
              <w:rPr>
                <w:rFonts w:eastAsia="Times New Roman" w:cs="Times New Roman"/>
                <w:color w:val="000000"/>
                <w:lang w:val="en" w:eastAsia="en-AU"/>
              </w:rPr>
              <w:t>tonne</w:t>
            </w:r>
            <w:proofErr w:type="spellEnd"/>
            <w:r w:rsidRPr="00D5382D">
              <w:rPr>
                <w:rFonts w:eastAsia="Times New Roman" w:cs="Times New Roman"/>
                <w:color w:val="000000"/>
                <w:lang w:val="en" w:eastAsia="en-AU"/>
              </w:rPr>
              <w:t xml:space="preserve"> of soil, such as occurs in carrying out agriculture, the construction or maintenance of drains, extractive industries, dredging, the construction of artificial water bodies (including canals, dams and detention basins) or foundations, or flood mitigation works, </w:t>
            </w:r>
            <w:r w:rsidRPr="00D5382D">
              <w:rPr>
                <w:rFonts w:eastAsia="Times New Roman" w:cs="Times New Roman"/>
                <w:strike/>
                <w:color w:val="000000"/>
                <w:lang w:val="en" w:eastAsia="en-AU"/>
              </w:rPr>
              <w:t>or</w:t>
            </w:r>
            <w:r w:rsidRPr="00D5382D">
              <w:rPr>
                <w:rFonts w:eastAsia="Times New Roman" w:cs="Times New Roman"/>
                <w:color w:val="000000"/>
                <w:lang w:val="en" w:eastAsia="en-AU"/>
              </w:rPr>
              <w:t xml:space="preserve"> and</w:t>
            </w:r>
            <w:r>
              <w:rPr>
                <w:rFonts w:eastAsia="Times New Roman" w:cs="Times New Roman"/>
                <w:strike/>
                <w:color w:val="000000"/>
                <w:lang w:val="en" w:eastAsia="en-AU"/>
              </w:rPr>
              <w:t xml:space="preserve"> </w:t>
            </w:r>
          </w:p>
          <w:p w:rsidR="00976A60" w:rsidRPr="00D5382D" w:rsidRDefault="00976A60" w:rsidP="00BB17FA">
            <w:pPr>
              <w:shd w:val="clear" w:color="auto" w:fill="E2EFD9" w:themeFill="accent6" w:themeFillTint="33"/>
              <w:ind w:left="33" w:hanging="433"/>
              <w:rPr>
                <w:rFonts w:eastAsia="Times New Roman" w:cs="Times New Roman"/>
                <w:color w:val="000000"/>
                <w:lang w:val="en" w:eastAsia="en-AU"/>
              </w:rPr>
            </w:pPr>
            <w:r w:rsidRPr="00D5382D">
              <w:rPr>
                <w:rFonts w:eastAsia="Times New Roman" w:cs="Times New Roman"/>
                <w:color w:val="000000"/>
                <w:lang w:val="en" w:eastAsia="en-AU"/>
              </w:rPr>
              <w:t>(b)  </w:t>
            </w:r>
            <w:r>
              <w:rPr>
                <w:rFonts w:eastAsia="Times New Roman" w:cs="Times New Roman"/>
                <w:color w:val="000000"/>
                <w:lang w:val="en" w:eastAsia="en-AU"/>
              </w:rPr>
              <w:t xml:space="preserve"> </w:t>
            </w:r>
            <w:proofErr w:type="gramStart"/>
            <w:r>
              <w:rPr>
                <w:rFonts w:eastAsia="Times New Roman" w:cs="Times New Roman"/>
                <w:color w:val="000000"/>
                <w:lang w:val="en" w:eastAsia="en-AU"/>
              </w:rPr>
              <w:t>b</w:t>
            </w:r>
            <w:proofErr w:type="gramEnd"/>
            <w:r>
              <w:rPr>
                <w:rFonts w:eastAsia="Times New Roman" w:cs="Times New Roman"/>
                <w:color w:val="000000"/>
                <w:lang w:val="en" w:eastAsia="en-AU"/>
              </w:rPr>
              <w:t xml:space="preserve">) </w:t>
            </w:r>
            <w:r w:rsidRPr="00D5382D">
              <w:rPr>
                <w:rFonts w:eastAsia="Times New Roman" w:cs="Times New Roman"/>
                <w:color w:val="000000"/>
                <w:lang w:val="en" w:eastAsia="en-AU"/>
              </w:rPr>
              <w:t xml:space="preserve">the works are not likely to lower the </w:t>
            </w:r>
            <w:proofErr w:type="spellStart"/>
            <w:r w:rsidRPr="00D5382D">
              <w:rPr>
                <w:rFonts w:eastAsia="Times New Roman" w:cs="Times New Roman"/>
                <w:color w:val="000000"/>
                <w:lang w:val="en" w:eastAsia="en-AU"/>
              </w:rPr>
              <w:t>watertable</w:t>
            </w:r>
            <w:proofErr w:type="spellEnd"/>
            <w:r w:rsidRPr="00D5382D">
              <w:rPr>
                <w:rFonts w:eastAsia="Times New Roman" w:cs="Times New Roman"/>
                <w:color w:val="000000"/>
                <w:lang w:val="en" w:eastAsia="en-AU"/>
              </w:rPr>
              <w:t>.</w:t>
            </w:r>
          </w:p>
          <w:p w:rsidR="00976A60" w:rsidRDefault="00976A60">
            <w:pPr>
              <w:rPr>
                <w:b/>
                <w:sz w:val="24"/>
                <w:szCs w:val="24"/>
              </w:rPr>
            </w:pPr>
          </w:p>
        </w:tc>
        <w:tc>
          <w:tcPr>
            <w:tcW w:w="1647" w:type="dxa"/>
            <w:shd w:val="clear" w:color="auto" w:fill="E2EFD9" w:themeFill="accent6" w:themeFillTint="33"/>
          </w:tcPr>
          <w:p w:rsidR="00976A60" w:rsidRPr="00B21957" w:rsidRDefault="00976A60">
            <w:pPr>
              <w:rPr>
                <w:sz w:val="24"/>
                <w:szCs w:val="24"/>
              </w:rPr>
            </w:pPr>
            <w:r>
              <w:rPr>
                <w:b/>
                <w:sz w:val="24"/>
                <w:szCs w:val="24"/>
              </w:rPr>
              <w:t xml:space="preserve"> </w:t>
            </w:r>
            <w:r w:rsidRPr="00B21957">
              <w:rPr>
                <w:sz w:val="24"/>
                <w:szCs w:val="24"/>
              </w:rPr>
              <w:t>Amend subclause</w:t>
            </w:r>
          </w:p>
        </w:tc>
        <w:tc>
          <w:tcPr>
            <w:tcW w:w="1433" w:type="dxa"/>
            <w:shd w:val="clear" w:color="auto" w:fill="E2EFD9" w:themeFill="accent6" w:themeFillTint="33"/>
          </w:tcPr>
          <w:p w:rsidR="00976A60" w:rsidRPr="00493B6A" w:rsidRDefault="00976A60">
            <w:pPr>
              <w:rPr>
                <w:sz w:val="24"/>
                <w:szCs w:val="24"/>
              </w:rPr>
            </w:pPr>
            <w:r w:rsidRPr="00493B6A">
              <w:rPr>
                <w:sz w:val="24"/>
                <w:szCs w:val="24"/>
              </w:rPr>
              <w:t xml:space="preserve">Instrument </w:t>
            </w:r>
          </w:p>
        </w:tc>
        <w:tc>
          <w:tcPr>
            <w:tcW w:w="3481" w:type="dxa"/>
            <w:shd w:val="clear" w:color="auto" w:fill="E2EFD9" w:themeFill="accent6" w:themeFillTint="33"/>
          </w:tcPr>
          <w:p w:rsidR="00976A60" w:rsidRDefault="00976A60" w:rsidP="00D5382D">
            <w:pPr>
              <w:rPr>
                <w:b/>
                <w:sz w:val="24"/>
                <w:szCs w:val="24"/>
              </w:rPr>
            </w:pPr>
            <w:r>
              <w:t>Council is seeking t</w:t>
            </w:r>
            <w:r w:rsidRPr="00DB4A90">
              <w:t>o ensure that works are both (</w:t>
            </w:r>
            <w:proofErr w:type="spellStart"/>
            <w:r w:rsidRPr="00DB4A90">
              <w:t>i</w:t>
            </w:r>
            <w:proofErr w:type="spellEnd"/>
            <w:r w:rsidRPr="00DB4A90">
              <w:t>) less than 1 tonne of soil and (ii) not likely to lower the water table.</w:t>
            </w:r>
          </w:p>
        </w:tc>
        <w:tc>
          <w:tcPr>
            <w:tcW w:w="3543" w:type="dxa"/>
            <w:shd w:val="clear" w:color="auto" w:fill="E2EFD9" w:themeFill="accent6" w:themeFillTint="33"/>
          </w:tcPr>
          <w:p w:rsidR="00976A60" w:rsidRPr="00F52B37" w:rsidRDefault="00976A60" w:rsidP="00BB17FA">
            <w:r w:rsidRPr="00F52B37">
              <w:t xml:space="preserve">The amendment </w:t>
            </w:r>
            <w:r>
              <w:t>as p</w:t>
            </w:r>
            <w:r w:rsidRPr="00F52B37">
              <w:t>roposed by Council, to amend Cl.6.1 (6) is supported</w:t>
            </w:r>
            <w:r w:rsidR="00BB17FA">
              <w:t>.</w:t>
            </w:r>
          </w:p>
        </w:tc>
        <w:tc>
          <w:tcPr>
            <w:tcW w:w="1460" w:type="dxa"/>
            <w:shd w:val="clear" w:color="auto" w:fill="E2EFD9" w:themeFill="accent6" w:themeFillTint="33"/>
          </w:tcPr>
          <w:p w:rsidR="00976A60" w:rsidRPr="00F52B37" w:rsidRDefault="00976A60">
            <w:pPr>
              <w:rPr>
                <w:b/>
              </w:rPr>
            </w:pPr>
            <w:r w:rsidRPr="00F52B37">
              <w:rPr>
                <w:b/>
              </w:rPr>
              <w:t xml:space="preserve">Supported </w:t>
            </w:r>
          </w:p>
        </w:tc>
      </w:tr>
      <w:tr w:rsidR="00976A60" w:rsidTr="00201547">
        <w:trPr>
          <w:cantSplit/>
          <w:tblHeader/>
        </w:trPr>
        <w:tc>
          <w:tcPr>
            <w:tcW w:w="710" w:type="dxa"/>
            <w:shd w:val="clear" w:color="auto" w:fill="E2EFD9" w:themeFill="accent6" w:themeFillTint="33"/>
          </w:tcPr>
          <w:p w:rsidR="00976A60" w:rsidRDefault="00976A60" w:rsidP="00D65157">
            <w:pPr>
              <w:rPr>
                <w:b/>
                <w:sz w:val="24"/>
                <w:szCs w:val="24"/>
              </w:rPr>
            </w:pPr>
            <w:r>
              <w:rPr>
                <w:b/>
                <w:sz w:val="24"/>
                <w:szCs w:val="24"/>
              </w:rPr>
              <w:t>8</w:t>
            </w:r>
          </w:p>
        </w:tc>
        <w:tc>
          <w:tcPr>
            <w:tcW w:w="3078" w:type="dxa"/>
            <w:shd w:val="clear" w:color="auto" w:fill="E2EFD9" w:themeFill="accent6" w:themeFillTint="33"/>
          </w:tcPr>
          <w:p w:rsidR="00976A60" w:rsidRPr="006E28BF" w:rsidRDefault="00976A60" w:rsidP="00D65157">
            <w:pPr>
              <w:rPr>
                <w:rFonts w:cs="Arial"/>
                <w:b/>
              </w:rPr>
            </w:pPr>
            <w:r w:rsidRPr="006E28BF">
              <w:rPr>
                <w:rFonts w:cs="Arial"/>
                <w:b/>
              </w:rPr>
              <w:t>Delete the following Item from Schedule 5 Environmental Heritage and HER_001:</w:t>
            </w:r>
          </w:p>
          <w:p w:rsidR="00976A60" w:rsidRPr="00201547" w:rsidRDefault="00976A60" w:rsidP="00956415">
            <w:pPr>
              <w:pStyle w:val="ListParagraph"/>
              <w:numPr>
                <w:ilvl w:val="0"/>
                <w:numId w:val="30"/>
              </w:numPr>
              <w:spacing w:after="0" w:line="240" w:lineRule="auto"/>
              <w:ind w:left="317" w:hanging="284"/>
              <w:rPr>
                <w:rFonts w:cs="Arial"/>
              </w:rPr>
            </w:pPr>
            <w:r w:rsidRPr="00201547">
              <w:rPr>
                <w:rFonts w:cs="Arial"/>
              </w:rPr>
              <w:t>Item 168 (Adjacen</w:t>
            </w:r>
            <w:r w:rsidR="00201547">
              <w:rPr>
                <w:rFonts w:cs="Arial"/>
              </w:rPr>
              <w:t>t to 87 – 93 Longueville Road</w:t>
            </w:r>
            <w:r w:rsidR="00EA352E">
              <w:rPr>
                <w:rFonts w:cs="Arial"/>
              </w:rPr>
              <w:t>, Lane Cove</w:t>
            </w:r>
            <w:r w:rsidR="00201547">
              <w:rPr>
                <w:rFonts w:cs="Arial"/>
              </w:rPr>
              <w:t>)</w:t>
            </w:r>
          </w:p>
        </w:tc>
        <w:tc>
          <w:tcPr>
            <w:tcW w:w="1647" w:type="dxa"/>
            <w:shd w:val="clear" w:color="auto" w:fill="E2EFD9" w:themeFill="accent6" w:themeFillTint="33"/>
          </w:tcPr>
          <w:p w:rsidR="00976A60" w:rsidRDefault="00976A60" w:rsidP="00EA352E">
            <w:pPr>
              <w:rPr>
                <w:b/>
                <w:sz w:val="24"/>
                <w:szCs w:val="24"/>
              </w:rPr>
            </w:pPr>
            <w:r>
              <w:rPr>
                <w:rFonts w:cs="Arial"/>
              </w:rPr>
              <w:t>Street Tree Planting</w:t>
            </w:r>
          </w:p>
        </w:tc>
        <w:tc>
          <w:tcPr>
            <w:tcW w:w="1433" w:type="dxa"/>
            <w:shd w:val="clear" w:color="auto" w:fill="E2EFD9" w:themeFill="accent6" w:themeFillTint="33"/>
          </w:tcPr>
          <w:p w:rsidR="00976A60" w:rsidRDefault="00976A60" w:rsidP="00D65157">
            <w:pPr>
              <w:rPr>
                <w:b/>
                <w:sz w:val="24"/>
                <w:szCs w:val="24"/>
              </w:rPr>
            </w:pPr>
            <w:r>
              <w:t>Instrument/ Map</w:t>
            </w:r>
          </w:p>
        </w:tc>
        <w:tc>
          <w:tcPr>
            <w:tcW w:w="3481" w:type="dxa"/>
            <w:shd w:val="clear" w:color="auto" w:fill="E2EFD9" w:themeFill="accent6" w:themeFillTint="33"/>
          </w:tcPr>
          <w:p w:rsidR="00976A60" w:rsidRDefault="00976A60" w:rsidP="00D65157">
            <w:pPr>
              <w:rPr>
                <w:rFonts w:cs="Arial"/>
              </w:rPr>
            </w:pPr>
            <w:r w:rsidRPr="00CA472B">
              <w:rPr>
                <w:rFonts w:cs="Arial"/>
              </w:rPr>
              <w:t xml:space="preserve">The street trees in front of 87-93 Longueville Rd were the item, but they have since died (and due to a mapping error, they had been </w:t>
            </w:r>
            <w:r>
              <w:rPr>
                <w:rFonts w:cs="Arial"/>
              </w:rPr>
              <w:t>located on Birdwood Lane).</w:t>
            </w:r>
          </w:p>
          <w:p w:rsidR="00976A60" w:rsidRPr="00D65157" w:rsidRDefault="00976A60" w:rsidP="00D65157">
            <w:pPr>
              <w:rPr>
                <w:rFonts w:cs="Arial"/>
              </w:rPr>
            </w:pPr>
          </w:p>
        </w:tc>
        <w:tc>
          <w:tcPr>
            <w:tcW w:w="3543" w:type="dxa"/>
            <w:shd w:val="clear" w:color="auto" w:fill="E2EFD9" w:themeFill="accent6" w:themeFillTint="33"/>
          </w:tcPr>
          <w:p w:rsidR="00976A60" w:rsidRPr="00F52B37" w:rsidRDefault="00976A60" w:rsidP="00D65157">
            <w:pPr>
              <w:rPr>
                <w:b/>
              </w:rPr>
            </w:pPr>
            <w:r w:rsidRPr="00F52B37">
              <w:t>The amendment as proposed by Council is supported</w:t>
            </w:r>
          </w:p>
        </w:tc>
        <w:tc>
          <w:tcPr>
            <w:tcW w:w="1460" w:type="dxa"/>
            <w:shd w:val="clear" w:color="auto" w:fill="E2EFD9" w:themeFill="accent6" w:themeFillTint="33"/>
          </w:tcPr>
          <w:p w:rsidR="00976A60" w:rsidRPr="00F52B37" w:rsidRDefault="00976A60" w:rsidP="00D65157">
            <w:pPr>
              <w:rPr>
                <w:b/>
              </w:rPr>
            </w:pPr>
            <w:r w:rsidRPr="00F52B37">
              <w:rPr>
                <w:b/>
              </w:rPr>
              <w:t xml:space="preserve">Supported </w:t>
            </w:r>
          </w:p>
        </w:tc>
      </w:tr>
      <w:tr w:rsidR="00976A60" w:rsidTr="00201547">
        <w:trPr>
          <w:cantSplit/>
          <w:tblHeader/>
        </w:trPr>
        <w:tc>
          <w:tcPr>
            <w:tcW w:w="710" w:type="dxa"/>
            <w:shd w:val="clear" w:color="auto" w:fill="E2EFD9" w:themeFill="accent6" w:themeFillTint="33"/>
          </w:tcPr>
          <w:p w:rsidR="00976A60" w:rsidRDefault="00976A60" w:rsidP="00D65157">
            <w:pPr>
              <w:rPr>
                <w:b/>
                <w:sz w:val="24"/>
                <w:szCs w:val="24"/>
              </w:rPr>
            </w:pPr>
            <w:r>
              <w:rPr>
                <w:b/>
                <w:sz w:val="24"/>
                <w:szCs w:val="24"/>
              </w:rPr>
              <w:t>9</w:t>
            </w:r>
          </w:p>
        </w:tc>
        <w:tc>
          <w:tcPr>
            <w:tcW w:w="3078" w:type="dxa"/>
            <w:shd w:val="clear" w:color="auto" w:fill="E2EFD9" w:themeFill="accent6" w:themeFillTint="33"/>
          </w:tcPr>
          <w:p w:rsidR="00976A60" w:rsidRDefault="00976A60" w:rsidP="00D65157">
            <w:pPr>
              <w:rPr>
                <w:rFonts w:cs="Arial"/>
                <w:b/>
              </w:rPr>
            </w:pPr>
            <w:r w:rsidRPr="006E28BF">
              <w:rPr>
                <w:rFonts w:cs="Arial"/>
                <w:b/>
              </w:rPr>
              <w:t>Delete the following Item from Schedule 5 Environmental Heritage</w:t>
            </w:r>
            <w:r>
              <w:rPr>
                <w:rFonts w:cs="Arial"/>
                <w:b/>
              </w:rPr>
              <w:t xml:space="preserve"> and HER_002</w:t>
            </w:r>
            <w:r w:rsidRPr="006E28BF">
              <w:rPr>
                <w:rFonts w:cs="Arial"/>
                <w:b/>
              </w:rPr>
              <w:t>:</w:t>
            </w:r>
          </w:p>
          <w:p w:rsidR="00976A60" w:rsidRPr="0043035E" w:rsidRDefault="00201547" w:rsidP="00201547">
            <w:pPr>
              <w:pStyle w:val="ListParagraph"/>
              <w:numPr>
                <w:ilvl w:val="0"/>
                <w:numId w:val="26"/>
              </w:numPr>
              <w:spacing w:after="0" w:line="240" w:lineRule="auto"/>
              <w:ind w:left="317" w:hanging="284"/>
              <w:rPr>
                <w:rFonts w:cs="Arial"/>
              </w:rPr>
            </w:pPr>
            <w:r>
              <w:rPr>
                <w:rFonts w:cs="Arial"/>
              </w:rPr>
              <w:t>I228 (73 Arabella Street</w:t>
            </w:r>
            <w:r w:rsidR="00EA352E">
              <w:rPr>
                <w:rFonts w:cs="Arial"/>
              </w:rPr>
              <w:t>,</w:t>
            </w:r>
            <w:r w:rsidR="00EA352E" w:rsidRPr="00F52B37">
              <w:t xml:space="preserve"> Longueville</w:t>
            </w:r>
            <w:r>
              <w:rPr>
                <w:rFonts w:cs="Arial"/>
              </w:rPr>
              <w:t>)</w:t>
            </w:r>
          </w:p>
          <w:p w:rsidR="00976A60" w:rsidRPr="00D65157" w:rsidRDefault="00976A60" w:rsidP="00D65157">
            <w:pPr>
              <w:rPr>
                <w:rFonts w:cs="Arial"/>
              </w:rPr>
            </w:pPr>
          </w:p>
        </w:tc>
        <w:tc>
          <w:tcPr>
            <w:tcW w:w="1647" w:type="dxa"/>
            <w:shd w:val="clear" w:color="auto" w:fill="E2EFD9" w:themeFill="accent6" w:themeFillTint="33"/>
          </w:tcPr>
          <w:p w:rsidR="00976A60" w:rsidRPr="00F52B37" w:rsidRDefault="00976A60" w:rsidP="00EA352E">
            <w:r w:rsidRPr="00F52B37">
              <w:t xml:space="preserve">House </w:t>
            </w:r>
          </w:p>
        </w:tc>
        <w:tc>
          <w:tcPr>
            <w:tcW w:w="1433" w:type="dxa"/>
            <w:shd w:val="clear" w:color="auto" w:fill="E2EFD9" w:themeFill="accent6" w:themeFillTint="33"/>
          </w:tcPr>
          <w:p w:rsidR="00976A60" w:rsidRDefault="00976A60" w:rsidP="00D65157">
            <w:pPr>
              <w:rPr>
                <w:b/>
                <w:sz w:val="24"/>
                <w:szCs w:val="24"/>
              </w:rPr>
            </w:pPr>
            <w:r>
              <w:t>Instrument/ Map</w:t>
            </w:r>
          </w:p>
        </w:tc>
        <w:tc>
          <w:tcPr>
            <w:tcW w:w="3481" w:type="dxa"/>
            <w:shd w:val="clear" w:color="auto" w:fill="E2EFD9" w:themeFill="accent6" w:themeFillTint="33"/>
          </w:tcPr>
          <w:p w:rsidR="00976A60" w:rsidRPr="00CA472B" w:rsidRDefault="00976A60" w:rsidP="00D65157">
            <w:r w:rsidRPr="00CA472B">
              <w:t xml:space="preserve">DA approved – demolition </w:t>
            </w:r>
          </w:p>
          <w:p w:rsidR="00976A60" w:rsidRDefault="00976A60" w:rsidP="00D65157">
            <w:pPr>
              <w:rPr>
                <w:b/>
                <w:sz w:val="24"/>
                <w:szCs w:val="24"/>
              </w:rPr>
            </w:pPr>
          </w:p>
        </w:tc>
        <w:tc>
          <w:tcPr>
            <w:tcW w:w="3543" w:type="dxa"/>
            <w:shd w:val="clear" w:color="auto" w:fill="E2EFD9" w:themeFill="accent6" w:themeFillTint="33"/>
          </w:tcPr>
          <w:p w:rsidR="00976A60" w:rsidRPr="00F52B37" w:rsidRDefault="00976A60" w:rsidP="00D65157">
            <w:pPr>
              <w:rPr>
                <w:b/>
              </w:rPr>
            </w:pPr>
            <w:r w:rsidRPr="00F52B37">
              <w:t>The amendment as proposed by Council is supported</w:t>
            </w:r>
          </w:p>
        </w:tc>
        <w:tc>
          <w:tcPr>
            <w:tcW w:w="1460" w:type="dxa"/>
            <w:shd w:val="clear" w:color="auto" w:fill="E2EFD9" w:themeFill="accent6" w:themeFillTint="33"/>
          </w:tcPr>
          <w:p w:rsidR="00976A60" w:rsidRPr="00F52B37" w:rsidRDefault="00976A60" w:rsidP="00D65157">
            <w:pPr>
              <w:rPr>
                <w:b/>
              </w:rPr>
            </w:pPr>
            <w:r w:rsidRPr="00F52B37">
              <w:rPr>
                <w:b/>
              </w:rPr>
              <w:t>Supported</w:t>
            </w:r>
          </w:p>
        </w:tc>
      </w:tr>
      <w:tr w:rsidR="00976A60" w:rsidTr="00201547">
        <w:trPr>
          <w:cantSplit/>
          <w:tblHeader/>
        </w:trPr>
        <w:tc>
          <w:tcPr>
            <w:tcW w:w="710" w:type="dxa"/>
            <w:shd w:val="clear" w:color="auto" w:fill="E2EFD9" w:themeFill="accent6" w:themeFillTint="33"/>
          </w:tcPr>
          <w:p w:rsidR="00976A60" w:rsidRDefault="00976A60" w:rsidP="00D65157">
            <w:pPr>
              <w:rPr>
                <w:b/>
                <w:sz w:val="24"/>
                <w:szCs w:val="24"/>
              </w:rPr>
            </w:pPr>
            <w:r>
              <w:rPr>
                <w:b/>
                <w:sz w:val="24"/>
                <w:szCs w:val="24"/>
              </w:rPr>
              <w:lastRenderedPageBreak/>
              <w:t>10</w:t>
            </w:r>
          </w:p>
        </w:tc>
        <w:tc>
          <w:tcPr>
            <w:tcW w:w="3078" w:type="dxa"/>
            <w:shd w:val="clear" w:color="auto" w:fill="E2EFD9" w:themeFill="accent6" w:themeFillTint="33"/>
          </w:tcPr>
          <w:p w:rsidR="00976A60" w:rsidRDefault="00976A60" w:rsidP="00D65157">
            <w:pPr>
              <w:rPr>
                <w:rFonts w:cs="Arial"/>
                <w:b/>
              </w:rPr>
            </w:pPr>
            <w:r w:rsidRPr="006E28BF">
              <w:rPr>
                <w:rFonts w:cs="Arial"/>
                <w:b/>
              </w:rPr>
              <w:t>Delete the following Item from Schedule 5 Environmental Heritage</w:t>
            </w:r>
            <w:r>
              <w:rPr>
                <w:rFonts w:cs="Arial"/>
                <w:b/>
              </w:rPr>
              <w:t xml:space="preserve"> and HER_002</w:t>
            </w:r>
            <w:r w:rsidRPr="006E28BF">
              <w:rPr>
                <w:rFonts w:cs="Arial"/>
                <w:b/>
              </w:rPr>
              <w:t>:</w:t>
            </w:r>
          </w:p>
          <w:p w:rsidR="00976A60" w:rsidRPr="0043035E" w:rsidRDefault="00976A60" w:rsidP="00201547">
            <w:pPr>
              <w:pStyle w:val="ListParagraph"/>
              <w:numPr>
                <w:ilvl w:val="0"/>
                <w:numId w:val="26"/>
              </w:numPr>
              <w:spacing w:after="0" w:line="240" w:lineRule="auto"/>
              <w:ind w:left="317" w:hanging="284"/>
              <w:rPr>
                <w:rFonts w:cs="Arial"/>
              </w:rPr>
            </w:pPr>
            <w:r w:rsidRPr="0043035E">
              <w:rPr>
                <w:rFonts w:cs="Arial"/>
              </w:rPr>
              <w:t>I317 (44 College Road South</w:t>
            </w:r>
            <w:r w:rsidR="00EA352E">
              <w:rPr>
                <w:rFonts w:cs="Arial"/>
              </w:rPr>
              <w:t>, Riverview</w:t>
            </w:r>
            <w:r w:rsidR="00EA352E">
              <w:t xml:space="preserve"> / Lot 7 DP739156</w:t>
            </w:r>
            <w:r w:rsidRPr="0043035E">
              <w:rPr>
                <w:rFonts w:cs="Arial"/>
              </w:rPr>
              <w:t>)</w:t>
            </w:r>
          </w:p>
          <w:p w:rsidR="00976A60" w:rsidRPr="00D65157" w:rsidRDefault="00976A60" w:rsidP="00D65157">
            <w:pPr>
              <w:rPr>
                <w:rFonts w:cs="Arial"/>
              </w:rPr>
            </w:pPr>
          </w:p>
        </w:tc>
        <w:tc>
          <w:tcPr>
            <w:tcW w:w="1647" w:type="dxa"/>
            <w:shd w:val="clear" w:color="auto" w:fill="E2EFD9" w:themeFill="accent6" w:themeFillTint="33"/>
          </w:tcPr>
          <w:p w:rsidR="00976A60" w:rsidRPr="009130F1" w:rsidRDefault="00EA352E" w:rsidP="00EA352E">
            <w:r>
              <w:t>House</w:t>
            </w:r>
          </w:p>
        </w:tc>
        <w:tc>
          <w:tcPr>
            <w:tcW w:w="1433" w:type="dxa"/>
            <w:shd w:val="clear" w:color="auto" w:fill="E2EFD9" w:themeFill="accent6" w:themeFillTint="33"/>
          </w:tcPr>
          <w:p w:rsidR="00976A60" w:rsidRDefault="00976A60" w:rsidP="00D65157">
            <w:pPr>
              <w:rPr>
                <w:b/>
                <w:sz w:val="24"/>
                <w:szCs w:val="24"/>
              </w:rPr>
            </w:pPr>
            <w:r>
              <w:t>Instrument/ Map</w:t>
            </w:r>
          </w:p>
        </w:tc>
        <w:tc>
          <w:tcPr>
            <w:tcW w:w="3481" w:type="dxa"/>
            <w:shd w:val="clear" w:color="auto" w:fill="E2EFD9" w:themeFill="accent6" w:themeFillTint="33"/>
          </w:tcPr>
          <w:p w:rsidR="00976A60" w:rsidRPr="00CA472B" w:rsidRDefault="00976A60" w:rsidP="00D65157">
            <w:r w:rsidRPr="00CA472B">
              <w:t xml:space="preserve">DA approved – demolition </w:t>
            </w:r>
          </w:p>
          <w:p w:rsidR="00976A60" w:rsidRDefault="00976A60" w:rsidP="00D65157">
            <w:pPr>
              <w:rPr>
                <w:b/>
                <w:sz w:val="24"/>
                <w:szCs w:val="24"/>
              </w:rPr>
            </w:pPr>
          </w:p>
        </w:tc>
        <w:tc>
          <w:tcPr>
            <w:tcW w:w="3543" w:type="dxa"/>
            <w:shd w:val="clear" w:color="auto" w:fill="E2EFD9" w:themeFill="accent6" w:themeFillTint="33"/>
          </w:tcPr>
          <w:p w:rsidR="00976A60" w:rsidRDefault="00976A60" w:rsidP="00D65157">
            <w:pPr>
              <w:rPr>
                <w:b/>
                <w:sz w:val="24"/>
                <w:szCs w:val="24"/>
              </w:rPr>
            </w:pPr>
            <w:r w:rsidRPr="00F52B37">
              <w:t>The amendment as proposed by Council is supported</w:t>
            </w:r>
          </w:p>
        </w:tc>
        <w:tc>
          <w:tcPr>
            <w:tcW w:w="1460" w:type="dxa"/>
            <w:shd w:val="clear" w:color="auto" w:fill="E2EFD9" w:themeFill="accent6" w:themeFillTint="33"/>
          </w:tcPr>
          <w:p w:rsidR="00976A60" w:rsidRDefault="00976A60" w:rsidP="00D65157">
            <w:pPr>
              <w:rPr>
                <w:b/>
                <w:sz w:val="24"/>
                <w:szCs w:val="24"/>
              </w:rPr>
            </w:pPr>
            <w:r w:rsidRPr="00F52B37">
              <w:rPr>
                <w:b/>
              </w:rPr>
              <w:t>Supported</w:t>
            </w:r>
          </w:p>
        </w:tc>
      </w:tr>
      <w:tr w:rsidR="00976A60" w:rsidTr="00201547">
        <w:trPr>
          <w:cantSplit/>
          <w:tblHeader/>
        </w:trPr>
        <w:tc>
          <w:tcPr>
            <w:tcW w:w="710" w:type="dxa"/>
            <w:shd w:val="clear" w:color="auto" w:fill="E2EFD9" w:themeFill="accent6" w:themeFillTint="33"/>
          </w:tcPr>
          <w:p w:rsidR="00976A60" w:rsidRDefault="00976A60" w:rsidP="00D65157">
            <w:pPr>
              <w:rPr>
                <w:b/>
                <w:sz w:val="24"/>
                <w:szCs w:val="24"/>
              </w:rPr>
            </w:pPr>
            <w:r>
              <w:rPr>
                <w:b/>
                <w:sz w:val="24"/>
                <w:szCs w:val="24"/>
              </w:rPr>
              <w:t>11</w:t>
            </w:r>
          </w:p>
        </w:tc>
        <w:tc>
          <w:tcPr>
            <w:tcW w:w="3078" w:type="dxa"/>
            <w:shd w:val="clear" w:color="auto" w:fill="E2EFD9" w:themeFill="accent6" w:themeFillTint="33"/>
          </w:tcPr>
          <w:p w:rsidR="00976A60" w:rsidRPr="006E28BF" w:rsidRDefault="00976A60" w:rsidP="00D65157">
            <w:pPr>
              <w:rPr>
                <w:rFonts w:cs="Arial"/>
                <w:b/>
              </w:rPr>
            </w:pPr>
            <w:r w:rsidRPr="006E28BF">
              <w:rPr>
                <w:rFonts w:cs="Arial"/>
                <w:b/>
              </w:rPr>
              <w:t>Delete the following Items from Schedule 5 Environmental Heritage and HER_004:</w:t>
            </w:r>
          </w:p>
          <w:p w:rsidR="00976A60" w:rsidRDefault="00201547" w:rsidP="00201547">
            <w:pPr>
              <w:pStyle w:val="ListParagraph"/>
              <w:numPr>
                <w:ilvl w:val="0"/>
                <w:numId w:val="26"/>
              </w:numPr>
              <w:spacing w:after="0" w:line="240" w:lineRule="auto"/>
              <w:ind w:left="317" w:hanging="284"/>
              <w:rPr>
                <w:rFonts w:cs="Arial"/>
              </w:rPr>
            </w:pPr>
            <w:r>
              <w:rPr>
                <w:rFonts w:cs="Arial"/>
              </w:rPr>
              <w:t>I89</w:t>
            </w:r>
            <w:r w:rsidR="00976A60" w:rsidRPr="0043035E">
              <w:rPr>
                <w:rFonts w:cs="Arial"/>
              </w:rPr>
              <w:t xml:space="preserve"> </w:t>
            </w:r>
            <w:r>
              <w:rPr>
                <w:rFonts w:cs="Arial"/>
              </w:rPr>
              <w:t xml:space="preserve">(13 </w:t>
            </w:r>
            <w:proofErr w:type="spellStart"/>
            <w:r w:rsidR="00976A60" w:rsidRPr="0043035E">
              <w:rPr>
                <w:rFonts w:cs="Arial"/>
              </w:rPr>
              <w:t>Kingslangley</w:t>
            </w:r>
            <w:proofErr w:type="spellEnd"/>
            <w:r w:rsidR="00976A60" w:rsidRPr="0043035E">
              <w:rPr>
                <w:rFonts w:cs="Arial"/>
              </w:rPr>
              <w:t xml:space="preserve"> Roa</w:t>
            </w:r>
            <w:r>
              <w:rPr>
                <w:rFonts w:cs="Arial"/>
              </w:rPr>
              <w:t>d)</w:t>
            </w:r>
          </w:p>
          <w:p w:rsidR="00201547" w:rsidRDefault="00201547" w:rsidP="00201547">
            <w:pPr>
              <w:pStyle w:val="ListParagraph"/>
              <w:numPr>
                <w:ilvl w:val="0"/>
                <w:numId w:val="26"/>
              </w:numPr>
              <w:spacing w:after="0" w:line="240" w:lineRule="auto"/>
              <w:ind w:left="317" w:hanging="284"/>
              <w:rPr>
                <w:rFonts w:cs="Arial"/>
              </w:rPr>
            </w:pPr>
            <w:r w:rsidRPr="0043035E">
              <w:rPr>
                <w:rFonts w:cs="Arial"/>
              </w:rPr>
              <w:t>I90</w:t>
            </w:r>
            <w:r>
              <w:rPr>
                <w:rFonts w:cs="Arial"/>
              </w:rPr>
              <w:t xml:space="preserve"> </w:t>
            </w:r>
            <w:r w:rsidRPr="0043035E">
              <w:rPr>
                <w:rFonts w:cs="Arial"/>
              </w:rPr>
              <w:t xml:space="preserve">(15 </w:t>
            </w:r>
            <w:proofErr w:type="spellStart"/>
            <w:r w:rsidRPr="0043035E">
              <w:rPr>
                <w:rFonts w:cs="Arial"/>
              </w:rPr>
              <w:t>Kingslangley</w:t>
            </w:r>
            <w:proofErr w:type="spellEnd"/>
            <w:r w:rsidRPr="0043035E">
              <w:rPr>
                <w:rFonts w:cs="Arial"/>
              </w:rPr>
              <w:t xml:space="preserve"> Road)</w:t>
            </w:r>
          </w:p>
          <w:p w:rsidR="00201547" w:rsidRPr="0043035E" w:rsidRDefault="00201547" w:rsidP="00201547">
            <w:pPr>
              <w:pStyle w:val="ListParagraph"/>
              <w:numPr>
                <w:ilvl w:val="0"/>
                <w:numId w:val="26"/>
              </w:numPr>
              <w:spacing w:after="0" w:line="240" w:lineRule="auto"/>
              <w:ind w:left="317" w:hanging="284"/>
              <w:rPr>
                <w:rFonts w:cs="Arial"/>
              </w:rPr>
            </w:pPr>
            <w:r w:rsidRPr="0043035E">
              <w:rPr>
                <w:rFonts w:cs="Arial"/>
              </w:rPr>
              <w:t>I91</w:t>
            </w:r>
            <w:r>
              <w:rPr>
                <w:rFonts w:cs="Arial"/>
              </w:rPr>
              <w:t xml:space="preserve"> </w:t>
            </w:r>
            <w:r w:rsidRPr="0043035E">
              <w:rPr>
                <w:rFonts w:cs="Arial"/>
              </w:rPr>
              <w:t xml:space="preserve">(16 </w:t>
            </w:r>
            <w:proofErr w:type="spellStart"/>
            <w:r w:rsidRPr="0043035E">
              <w:rPr>
                <w:rFonts w:cs="Arial"/>
              </w:rPr>
              <w:t>Kingslangley</w:t>
            </w:r>
            <w:proofErr w:type="spellEnd"/>
            <w:r w:rsidRPr="0043035E">
              <w:rPr>
                <w:rFonts w:cs="Arial"/>
              </w:rPr>
              <w:t xml:space="preserve"> Road)</w:t>
            </w:r>
          </w:p>
          <w:p w:rsidR="00976A60" w:rsidRDefault="00976A60" w:rsidP="00D65157">
            <w:pPr>
              <w:rPr>
                <w:b/>
                <w:sz w:val="24"/>
                <w:szCs w:val="24"/>
              </w:rPr>
            </w:pPr>
          </w:p>
        </w:tc>
        <w:tc>
          <w:tcPr>
            <w:tcW w:w="1647" w:type="dxa"/>
            <w:shd w:val="clear" w:color="auto" w:fill="E2EFD9" w:themeFill="accent6" w:themeFillTint="33"/>
          </w:tcPr>
          <w:p w:rsidR="00976A60" w:rsidRPr="00CA472B" w:rsidRDefault="00EA352E" w:rsidP="00EA352E">
            <w:r>
              <w:rPr>
                <w:rFonts w:cs="Arial"/>
              </w:rPr>
              <w:t>House</w:t>
            </w:r>
          </w:p>
        </w:tc>
        <w:tc>
          <w:tcPr>
            <w:tcW w:w="1433" w:type="dxa"/>
            <w:shd w:val="clear" w:color="auto" w:fill="E2EFD9" w:themeFill="accent6" w:themeFillTint="33"/>
          </w:tcPr>
          <w:p w:rsidR="00976A60" w:rsidRDefault="00976A60" w:rsidP="00D65157">
            <w:pPr>
              <w:rPr>
                <w:b/>
                <w:sz w:val="24"/>
                <w:szCs w:val="24"/>
              </w:rPr>
            </w:pPr>
            <w:r>
              <w:t>Instrument/ Map</w:t>
            </w:r>
          </w:p>
        </w:tc>
        <w:tc>
          <w:tcPr>
            <w:tcW w:w="3481" w:type="dxa"/>
            <w:shd w:val="clear" w:color="auto" w:fill="E2EFD9" w:themeFill="accent6" w:themeFillTint="33"/>
          </w:tcPr>
          <w:p w:rsidR="00976A60" w:rsidRPr="00CA472B" w:rsidRDefault="00976A60" w:rsidP="00D65157">
            <w:r w:rsidRPr="00CA472B">
              <w:t xml:space="preserve">DA approved – demolition </w:t>
            </w:r>
          </w:p>
          <w:p w:rsidR="00976A60" w:rsidRPr="00CA472B" w:rsidRDefault="00976A60" w:rsidP="00D65157"/>
        </w:tc>
        <w:tc>
          <w:tcPr>
            <w:tcW w:w="3543" w:type="dxa"/>
            <w:shd w:val="clear" w:color="auto" w:fill="E2EFD9" w:themeFill="accent6" w:themeFillTint="33"/>
          </w:tcPr>
          <w:p w:rsidR="00976A60" w:rsidRPr="00F52B37" w:rsidRDefault="00976A60" w:rsidP="00D65157">
            <w:r w:rsidRPr="00F52B37">
              <w:t xml:space="preserve">The amendment as proposed by Council is supported. </w:t>
            </w:r>
          </w:p>
        </w:tc>
        <w:tc>
          <w:tcPr>
            <w:tcW w:w="1460" w:type="dxa"/>
            <w:shd w:val="clear" w:color="auto" w:fill="E2EFD9" w:themeFill="accent6" w:themeFillTint="33"/>
          </w:tcPr>
          <w:p w:rsidR="00976A60" w:rsidRPr="00F52B37" w:rsidRDefault="00976A60" w:rsidP="00D65157">
            <w:pPr>
              <w:rPr>
                <w:b/>
              </w:rPr>
            </w:pPr>
            <w:r w:rsidRPr="00F52B37">
              <w:rPr>
                <w:b/>
              </w:rPr>
              <w:t>Supported</w:t>
            </w:r>
          </w:p>
        </w:tc>
      </w:tr>
      <w:tr w:rsidR="00976A60" w:rsidTr="00201547">
        <w:trPr>
          <w:cantSplit/>
          <w:tblHeader/>
        </w:trPr>
        <w:tc>
          <w:tcPr>
            <w:tcW w:w="710" w:type="dxa"/>
            <w:shd w:val="clear" w:color="auto" w:fill="E2EFD9" w:themeFill="accent6" w:themeFillTint="33"/>
          </w:tcPr>
          <w:p w:rsidR="00976A60" w:rsidRDefault="00976A60" w:rsidP="00D65157">
            <w:pPr>
              <w:rPr>
                <w:b/>
                <w:sz w:val="24"/>
                <w:szCs w:val="24"/>
              </w:rPr>
            </w:pPr>
            <w:r>
              <w:rPr>
                <w:b/>
                <w:sz w:val="24"/>
                <w:szCs w:val="24"/>
              </w:rPr>
              <w:t>12</w:t>
            </w:r>
          </w:p>
        </w:tc>
        <w:tc>
          <w:tcPr>
            <w:tcW w:w="3078" w:type="dxa"/>
            <w:shd w:val="clear" w:color="auto" w:fill="E2EFD9" w:themeFill="accent6" w:themeFillTint="33"/>
          </w:tcPr>
          <w:p w:rsidR="00976A60" w:rsidRDefault="00976A60" w:rsidP="00D65157">
            <w:pPr>
              <w:rPr>
                <w:rFonts w:cs="Arial"/>
                <w:b/>
              </w:rPr>
            </w:pPr>
            <w:r w:rsidRPr="006E28BF">
              <w:rPr>
                <w:rFonts w:cs="Arial"/>
                <w:b/>
              </w:rPr>
              <w:t>Delete the following Item from Schedule 5 Environmental Heritage</w:t>
            </w:r>
            <w:r>
              <w:rPr>
                <w:rFonts w:cs="Arial"/>
                <w:b/>
              </w:rPr>
              <w:t xml:space="preserve"> and HER_004</w:t>
            </w:r>
            <w:r w:rsidRPr="006E28BF">
              <w:rPr>
                <w:rFonts w:cs="Arial"/>
                <w:b/>
              </w:rPr>
              <w:t>:</w:t>
            </w:r>
          </w:p>
          <w:p w:rsidR="00976A60" w:rsidRPr="00201547" w:rsidRDefault="00201547" w:rsidP="00201547">
            <w:pPr>
              <w:pStyle w:val="ListParagraph"/>
              <w:numPr>
                <w:ilvl w:val="0"/>
                <w:numId w:val="27"/>
              </w:numPr>
              <w:spacing w:after="0" w:line="240" w:lineRule="auto"/>
              <w:ind w:left="317" w:hanging="284"/>
              <w:rPr>
                <w:rFonts w:cs="Arial"/>
              </w:rPr>
            </w:pPr>
            <w:r>
              <w:rPr>
                <w:rFonts w:cs="Arial"/>
              </w:rPr>
              <w:t>I293 (62 Northwood Road</w:t>
            </w:r>
            <w:r w:rsidR="00EA352E">
              <w:rPr>
                <w:rFonts w:cs="Arial"/>
              </w:rPr>
              <w:t>,</w:t>
            </w:r>
            <w:r w:rsidR="00EA352E" w:rsidRPr="00F038D7">
              <w:t xml:space="preserve"> Northwood</w:t>
            </w:r>
            <w:r>
              <w:rPr>
                <w:rFonts w:cs="Arial"/>
              </w:rPr>
              <w:t>)</w:t>
            </w:r>
          </w:p>
          <w:p w:rsidR="00976A60" w:rsidRDefault="00976A60" w:rsidP="00D65157">
            <w:pPr>
              <w:rPr>
                <w:b/>
                <w:sz w:val="24"/>
                <w:szCs w:val="24"/>
              </w:rPr>
            </w:pPr>
          </w:p>
        </w:tc>
        <w:tc>
          <w:tcPr>
            <w:tcW w:w="1647" w:type="dxa"/>
            <w:shd w:val="clear" w:color="auto" w:fill="E2EFD9" w:themeFill="accent6" w:themeFillTint="33"/>
          </w:tcPr>
          <w:p w:rsidR="00976A60" w:rsidRDefault="00976A60" w:rsidP="00D65157">
            <w:r w:rsidRPr="00F038D7">
              <w:t>House</w:t>
            </w:r>
            <w:r>
              <w:t xml:space="preserve"> and Garden</w:t>
            </w:r>
          </w:p>
          <w:p w:rsidR="00976A60" w:rsidRPr="00F038D7" w:rsidRDefault="00976A60" w:rsidP="00D65157"/>
        </w:tc>
        <w:tc>
          <w:tcPr>
            <w:tcW w:w="1433" w:type="dxa"/>
            <w:shd w:val="clear" w:color="auto" w:fill="E2EFD9" w:themeFill="accent6" w:themeFillTint="33"/>
          </w:tcPr>
          <w:p w:rsidR="00976A60" w:rsidRDefault="00976A60" w:rsidP="00D65157">
            <w:pPr>
              <w:rPr>
                <w:b/>
                <w:sz w:val="24"/>
                <w:szCs w:val="24"/>
              </w:rPr>
            </w:pPr>
            <w:r>
              <w:t>Instrument/ Map</w:t>
            </w:r>
          </w:p>
        </w:tc>
        <w:tc>
          <w:tcPr>
            <w:tcW w:w="3481" w:type="dxa"/>
            <w:shd w:val="clear" w:color="auto" w:fill="E2EFD9" w:themeFill="accent6" w:themeFillTint="33"/>
          </w:tcPr>
          <w:p w:rsidR="00976A60" w:rsidRPr="00CA472B" w:rsidRDefault="00976A60" w:rsidP="00D65157">
            <w:r w:rsidRPr="00CA472B">
              <w:t xml:space="preserve">DA approved – demolition </w:t>
            </w:r>
          </w:p>
          <w:p w:rsidR="00976A60" w:rsidRDefault="00976A60" w:rsidP="00D65157">
            <w:pPr>
              <w:rPr>
                <w:b/>
                <w:sz w:val="24"/>
                <w:szCs w:val="24"/>
              </w:rPr>
            </w:pPr>
          </w:p>
        </w:tc>
        <w:tc>
          <w:tcPr>
            <w:tcW w:w="3543" w:type="dxa"/>
            <w:shd w:val="clear" w:color="auto" w:fill="E2EFD9" w:themeFill="accent6" w:themeFillTint="33"/>
          </w:tcPr>
          <w:p w:rsidR="00976A60" w:rsidRDefault="00976A60" w:rsidP="00D65157">
            <w:pPr>
              <w:rPr>
                <w:b/>
                <w:sz w:val="24"/>
                <w:szCs w:val="24"/>
              </w:rPr>
            </w:pPr>
            <w:r w:rsidRPr="00F52B37">
              <w:t>The amendment as proposed by Council is supported</w:t>
            </w:r>
          </w:p>
        </w:tc>
        <w:tc>
          <w:tcPr>
            <w:tcW w:w="1460" w:type="dxa"/>
            <w:shd w:val="clear" w:color="auto" w:fill="E2EFD9" w:themeFill="accent6" w:themeFillTint="33"/>
          </w:tcPr>
          <w:p w:rsidR="00976A60" w:rsidRDefault="00976A60" w:rsidP="00D65157">
            <w:pPr>
              <w:rPr>
                <w:b/>
                <w:sz w:val="24"/>
                <w:szCs w:val="24"/>
              </w:rPr>
            </w:pPr>
            <w:r w:rsidRPr="00F52B37">
              <w:rPr>
                <w:b/>
              </w:rPr>
              <w:t>Supported</w:t>
            </w:r>
          </w:p>
        </w:tc>
      </w:tr>
      <w:tr w:rsidR="00976A60" w:rsidTr="000A23DC">
        <w:trPr>
          <w:cantSplit/>
          <w:tblHeader/>
        </w:trPr>
        <w:tc>
          <w:tcPr>
            <w:tcW w:w="710" w:type="dxa"/>
            <w:shd w:val="clear" w:color="auto" w:fill="FF7C80"/>
          </w:tcPr>
          <w:p w:rsidR="00976A60" w:rsidRDefault="00976A60" w:rsidP="00D65157">
            <w:pPr>
              <w:rPr>
                <w:b/>
                <w:sz w:val="24"/>
                <w:szCs w:val="24"/>
              </w:rPr>
            </w:pPr>
            <w:r>
              <w:rPr>
                <w:b/>
                <w:sz w:val="24"/>
                <w:szCs w:val="24"/>
              </w:rPr>
              <w:t>13</w:t>
            </w:r>
          </w:p>
        </w:tc>
        <w:tc>
          <w:tcPr>
            <w:tcW w:w="3078" w:type="dxa"/>
            <w:shd w:val="clear" w:color="auto" w:fill="FF7C80"/>
          </w:tcPr>
          <w:p w:rsidR="00976A60" w:rsidRPr="00EF596B" w:rsidRDefault="00976A60" w:rsidP="00D65157">
            <w:pPr>
              <w:rPr>
                <w:b/>
              </w:rPr>
            </w:pPr>
            <w:r>
              <w:rPr>
                <w:b/>
              </w:rPr>
              <w:t xml:space="preserve">Reduce </w:t>
            </w:r>
            <w:r w:rsidRPr="00EF596B">
              <w:rPr>
                <w:b/>
              </w:rPr>
              <w:t>FSR 0.6:1</w:t>
            </w:r>
            <w:r>
              <w:rPr>
                <w:b/>
              </w:rPr>
              <w:t xml:space="preserve"> to FSR 0.5:1 for various lots in Zone R2 Low Density Residential (FSR_001; FSR_002; FSR_003; FSR_004) </w:t>
            </w:r>
            <w:r w:rsidRPr="00EF596B">
              <w:rPr>
                <w:b/>
              </w:rPr>
              <w:t xml:space="preserve"> </w:t>
            </w:r>
          </w:p>
        </w:tc>
        <w:tc>
          <w:tcPr>
            <w:tcW w:w="1647" w:type="dxa"/>
            <w:shd w:val="clear" w:color="auto" w:fill="FF7C80"/>
          </w:tcPr>
          <w:p w:rsidR="00976A60" w:rsidRPr="00EF596B" w:rsidRDefault="00976A60" w:rsidP="00D65157">
            <w:r w:rsidRPr="00EF596B">
              <w:t>Various properties in Zone R2 Low Density Residential mapped at F</w:t>
            </w:r>
            <w:r>
              <w:t xml:space="preserve">SR 0.6:1 while </w:t>
            </w:r>
            <w:r w:rsidRPr="00EF596B">
              <w:t>neighbouring properties mapped at FSR 0.5:1</w:t>
            </w:r>
          </w:p>
        </w:tc>
        <w:tc>
          <w:tcPr>
            <w:tcW w:w="1433" w:type="dxa"/>
            <w:shd w:val="clear" w:color="auto" w:fill="FF7C80"/>
          </w:tcPr>
          <w:p w:rsidR="00976A60" w:rsidRPr="00EF596B" w:rsidRDefault="00976A60" w:rsidP="00D65157">
            <w:pPr>
              <w:rPr>
                <w:sz w:val="24"/>
                <w:szCs w:val="24"/>
              </w:rPr>
            </w:pPr>
            <w:r>
              <w:rPr>
                <w:sz w:val="24"/>
                <w:szCs w:val="24"/>
              </w:rPr>
              <w:t xml:space="preserve">Map </w:t>
            </w:r>
          </w:p>
        </w:tc>
        <w:tc>
          <w:tcPr>
            <w:tcW w:w="3481" w:type="dxa"/>
            <w:shd w:val="clear" w:color="auto" w:fill="FF7C80"/>
          </w:tcPr>
          <w:p w:rsidR="00976A60" w:rsidRDefault="00976A60" w:rsidP="00D65157">
            <w:r w:rsidRPr="00EF596B">
              <w:t xml:space="preserve">Council is seeking to ensure consistent mapping of subdivision patterns in Zone R2 Low Density Residential areas to ensure compatible building bulk and streetscape. </w:t>
            </w:r>
          </w:p>
          <w:p w:rsidR="004408CE" w:rsidRDefault="004408CE" w:rsidP="00D65157"/>
          <w:p w:rsidR="004408CE" w:rsidRPr="004408CE" w:rsidRDefault="004408CE" w:rsidP="00D65157">
            <w:pPr>
              <w:rPr>
                <w:b/>
              </w:rPr>
            </w:pPr>
            <w:r w:rsidRPr="004408CE">
              <w:rPr>
                <w:b/>
              </w:rPr>
              <w:t>THIS AMENDMENT HAS BEEN DEFERRED</w:t>
            </w:r>
            <w:r>
              <w:rPr>
                <w:b/>
              </w:rPr>
              <w:t xml:space="preserve"> BY COUNCIL </w:t>
            </w:r>
          </w:p>
          <w:p w:rsidR="00976A60" w:rsidRPr="00EF596B" w:rsidRDefault="00976A60" w:rsidP="00D65157">
            <w:pPr>
              <w:rPr>
                <w:sz w:val="24"/>
                <w:szCs w:val="24"/>
              </w:rPr>
            </w:pPr>
            <w:r>
              <w:rPr>
                <w:sz w:val="24"/>
                <w:szCs w:val="24"/>
              </w:rPr>
              <w:t xml:space="preserve">  </w:t>
            </w:r>
          </w:p>
        </w:tc>
        <w:tc>
          <w:tcPr>
            <w:tcW w:w="3543" w:type="dxa"/>
            <w:shd w:val="clear" w:color="auto" w:fill="FF7C80"/>
          </w:tcPr>
          <w:p w:rsidR="00976A60" w:rsidRPr="004408CE" w:rsidRDefault="004408CE" w:rsidP="00D65157">
            <w:pPr>
              <w:rPr>
                <w:b/>
                <w:sz w:val="24"/>
                <w:szCs w:val="24"/>
              </w:rPr>
            </w:pPr>
            <w:r w:rsidRPr="004408CE">
              <w:rPr>
                <w:b/>
                <w:sz w:val="24"/>
                <w:szCs w:val="24"/>
              </w:rPr>
              <w:t xml:space="preserve">DEFERRED </w:t>
            </w:r>
          </w:p>
        </w:tc>
        <w:tc>
          <w:tcPr>
            <w:tcW w:w="1460" w:type="dxa"/>
            <w:shd w:val="clear" w:color="auto" w:fill="FF7C80"/>
          </w:tcPr>
          <w:p w:rsidR="00976A60" w:rsidRPr="00CE3458" w:rsidRDefault="004408CE" w:rsidP="00D65157">
            <w:pPr>
              <w:rPr>
                <w:b/>
                <w:sz w:val="24"/>
                <w:szCs w:val="24"/>
              </w:rPr>
            </w:pPr>
            <w:r>
              <w:rPr>
                <w:b/>
              </w:rPr>
              <w:t>DEFERRED</w:t>
            </w:r>
          </w:p>
        </w:tc>
      </w:tr>
      <w:tr w:rsidR="00976A60" w:rsidTr="00201547">
        <w:trPr>
          <w:cantSplit/>
          <w:tblHeader/>
        </w:trPr>
        <w:tc>
          <w:tcPr>
            <w:tcW w:w="710" w:type="dxa"/>
            <w:shd w:val="clear" w:color="auto" w:fill="E2EFD9" w:themeFill="accent6" w:themeFillTint="33"/>
          </w:tcPr>
          <w:p w:rsidR="00976A60" w:rsidRDefault="00976A60" w:rsidP="00D65157">
            <w:pPr>
              <w:rPr>
                <w:b/>
                <w:sz w:val="24"/>
                <w:szCs w:val="24"/>
              </w:rPr>
            </w:pPr>
            <w:r>
              <w:rPr>
                <w:b/>
                <w:sz w:val="24"/>
                <w:szCs w:val="24"/>
              </w:rPr>
              <w:t>14</w:t>
            </w:r>
          </w:p>
        </w:tc>
        <w:tc>
          <w:tcPr>
            <w:tcW w:w="3078" w:type="dxa"/>
            <w:shd w:val="clear" w:color="auto" w:fill="E2EFD9" w:themeFill="accent6" w:themeFillTint="33"/>
          </w:tcPr>
          <w:p w:rsidR="00201547" w:rsidRDefault="00976A60" w:rsidP="00D65157">
            <w:pPr>
              <w:rPr>
                <w:b/>
              </w:rPr>
            </w:pPr>
            <w:r w:rsidRPr="008344DC">
              <w:rPr>
                <w:b/>
              </w:rPr>
              <w:t xml:space="preserve">Adjust FSR and Height of Buildings maps </w:t>
            </w:r>
            <w:r>
              <w:rPr>
                <w:b/>
              </w:rPr>
              <w:t>(FSR_001; HOB_001)</w:t>
            </w:r>
            <w:r w:rsidR="00201547" w:rsidRPr="008344DC">
              <w:rPr>
                <w:b/>
              </w:rPr>
              <w:t xml:space="preserve"> </w:t>
            </w:r>
            <w:r w:rsidR="00EA352E">
              <w:rPr>
                <w:b/>
              </w:rPr>
              <w:t>for:</w:t>
            </w:r>
          </w:p>
          <w:p w:rsidR="00976A60" w:rsidRPr="009D74F8" w:rsidRDefault="00494148" w:rsidP="009D74F8">
            <w:pPr>
              <w:pStyle w:val="ListParagraph"/>
              <w:numPr>
                <w:ilvl w:val="0"/>
                <w:numId w:val="27"/>
              </w:numPr>
              <w:spacing w:after="0" w:line="240" w:lineRule="auto"/>
              <w:ind w:left="317" w:hanging="284"/>
              <w:rPr>
                <w:b/>
              </w:rPr>
            </w:pPr>
            <w:r>
              <w:t>40A Cope Street, Lane Cove (</w:t>
            </w:r>
            <w:r w:rsidR="00201547" w:rsidRPr="00201547">
              <w:t>Lot 12</w:t>
            </w:r>
            <w:r w:rsidR="009D74F8">
              <w:t xml:space="preserve">0 DP 613223 and </w:t>
            </w:r>
            <w:r w:rsidR="00201547" w:rsidRPr="00201547">
              <w:t>Lot 51 DP 862728</w:t>
            </w:r>
            <w:r>
              <w:t>)</w:t>
            </w:r>
          </w:p>
          <w:p w:rsidR="00976A60" w:rsidRPr="008344DC" w:rsidRDefault="00976A60" w:rsidP="00D65157">
            <w:pPr>
              <w:rPr>
                <w:b/>
              </w:rPr>
            </w:pPr>
          </w:p>
        </w:tc>
        <w:tc>
          <w:tcPr>
            <w:tcW w:w="1647" w:type="dxa"/>
            <w:shd w:val="clear" w:color="auto" w:fill="E2EFD9" w:themeFill="accent6" w:themeFillTint="33"/>
          </w:tcPr>
          <w:p w:rsidR="00976A60" w:rsidRDefault="00976A60" w:rsidP="00D65157">
            <w:pPr>
              <w:rPr>
                <w:b/>
                <w:sz w:val="24"/>
                <w:szCs w:val="24"/>
              </w:rPr>
            </w:pPr>
          </w:p>
        </w:tc>
        <w:tc>
          <w:tcPr>
            <w:tcW w:w="1433" w:type="dxa"/>
            <w:shd w:val="clear" w:color="auto" w:fill="E2EFD9" w:themeFill="accent6" w:themeFillTint="33"/>
          </w:tcPr>
          <w:p w:rsidR="00976A60" w:rsidRPr="008344DC" w:rsidRDefault="00976A60" w:rsidP="00D65157">
            <w:r w:rsidRPr="008344DC">
              <w:t xml:space="preserve">Map </w:t>
            </w:r>
          </w:p>
        </w:tc>
        <w:tc>
          <w:tcPr>
            <w:tcW w:w="3481" w:type="dxa"/>
            <w:shd w:val="clear" w:color="auto" w:fill="E2EFD9" w:themeFill="accent6" w:themeFillTint="33"/>
          </w:tcPr>
          <w:p w:rsidR="00976A60" w:rsidRPr="008344DC" w:rsidRDefault="00976A60" w:rsidP="00D65157">
            <w:pPr>
              <w:rPr>
                <w:sz w:val="24"/>
                <w:szCs w:val="24"/>
              </w:rPr>
            </w:pPr>
            <w:r>
              <w:rPr>
                <w:sz w:val="24"/>
                <w:szCs w:val="24"/>
              </w:rPr>
              <w:t>Council is seeking to re-align properties boundaries with cadastre</w:t>
            </w:r>
          </w:p>
        </w:tc>
        <w:tc>
          <w:tcPr>
            <w:tcW w:w="3543" w:type="dxa"/>
            <w:shd w:val="clear" w:color="auto" w:fill="E2EFD9" w:themeFill="accent6" w:themeFillTint="33"/>
          </w:tcPr>
          <w:p w:rsidR="00976A60" w:rsidRDefault="00976A60" w:rsidP="00D65157">
            <w:pPr>
              <w:rPr>
                <w:b/>
                <w:sz w:val="24"/>
                <w:szCs w:val="24"/>
              </w:rPr>
            </w:pPr>
            <w:r w:rsidRPr="00F52B37">
              <w:t>The amendment as proposed by Council is supported</w:t>
            </w:r>
          </w:p>
        </w:tc>
        <w:tc>
          <w:tcPr>
            <w:tcW w:w="1460" w:type="dxa"/>
            <w:shd w:val="clear" w:color="auto" w:fill="E2EFD9" w:themeFill="accent6" w:themeFillTint="33"/>
          </w:tcPr>
          <w:p w:rsidR="00976A60" w:rsidRPr="008344DC" w:rsidRDefault="00976A60" w:rsidP="00D65157">
            <w:pPr>
              <w:rPr>
                <w:b/>
              </w:rPr>
            </w:pPr>
            <w:r w:rsidRPr="008344DC">
              <w:rPr>
                <w:b/>
              </w:rPr>
              <w:t>Supported</w:t>
            </w:r>
          </w:p>
        </w:tc>
      </w:tr>
      <w:tr w:rsidR="00976A60" w:rsidTr="00201547">
        <w:trPr>
          <w:cantSplit/>
          <w:tblHeader/>
        </w:trPr>
        <w:tc>
          <w:tcPr>
            <w:tcW w:w="710" w:type="dxa"/>
            <w:shd w:val="clear" w:color="auto" w:fill="E2EFD9" w:themeFill="accent6" w:themeFillTint="33"/>
          </w:tcPr>
          <w:p w:rsidR="00976A60" w:rsidRDefault="00976A60" w:rsidP="00D65157">
            <w:pPr>
              <w:rPr>
                <w:b/>
                <w:sz w:val="24"/>
                <w:szCs w:val="24"/>
              </w:rPr>
            </w:pPr>
            <w:r>
              <w:rPr>
                <w:b/>
                <w:sz w:val="24"/>
                <w:szCs w:val="24"/>
              </w:rPr>
              <w:lastRenderedPageBreak/>
              <w:t>15</w:t>
            </w:r>
          </w:p>
        </w:tc>
        <w:tc>
          <w:tcPr>
            <w:tcW w:w="3078" w:type="dxa"/>
            <w:shd w:val="clear" w:color="auto" w:fill="E2EFD9" w:themeFill="accent6" w:themeFillTint="33"/>
          </w:tcPr>
          <w:p w:rsidR="00201547" w:rsidRDefault="00976A60" w:rsidP="00D65157">
            <w:pPr>
              <w:rPr>
                <w:b/>
              </w:rPr>
            </w:pPr>
            <w:r w:rsidRPr="003333BC">
              <w:rPr>
                <w:b/>
              </w:rPr>
              <w:t xml:space="preserve">Add FSR and Height of Buildings labels </w:t>
            </w:r>
            <w:r w:rsidR="00494148">
              <w:rPr>
                <w:b/>
              </w:rPr>
              <w:t>(FSR_004; HOB_004</w:t>
            </w:r>
            <w:r>
              <w:rPr>
                <w:b/>
              </w:rPr>
              <w:t>)</w:t>
            </w:r>
            <w:r w:rsidR="00201547" w:rsidRPr="003333BC">
              <w:rPr>
                <w:b/>
              </w:rPr>
              <w:t xml:space="preserve"> for </w:t>
            </w:r>
          </w:p>
          <w:p w:rsidR="00976A60" w:rsidRPr="00201547" w:rsidRDefault="00201547" w:rsidP="00956415">
            <w:pPr>
              <w:pStyle w:val="ListParagraph"/>
              <w:numPr>
                <w:ilvl w:val="0"/>
                <w:numId w:val="28"/>
              </w:numPr>
              <w:spacing w:after="0" w:line="240" w:lineRule="auto"/>
              <w:ind w:left="317" w:hanging="284"/>
            </w:pPr>
            <w:r w:rsidRPr="00201547">
              <w:t>3 Dunois Street, Longueville</w:t>
            </w:r>
          </w:p>
          <w:p w:rsidR="00976A60" w:rsidRDefault="00976A60" w:rsidP="00D65157">
            <w:pPr>
              <w:rPr>
                <w:b/>
                <w:sz w:val="24"/>
                <w:szCs w:val="24"/>
              </w:rPr>
            </w:pPr>
          </w:p>
        </w:tc>
        <w:tc>
          <w:tcPr>
            <w:tcW w:w="1647" w:type="dxa"/>
            <w:shd w:val="clear" w:color="auto" w:fill="E2EFD9" w:themeFill="accent6" w:themeFillTint="33"/>
          </w:tcPr>
          <w:p w:rsidR="00976A60" w:rsidRDefault="00976A60" w:rsidP="00D65157">
            <w:pPr>
              <w:rPr>
                <w:b/>
                <w:sz w:val="24"/>
                <w:szCs w:val="24"/>
              </w:rPr>
            </w:pPr>
          </w:p>
        </w:tc>
        <w:tc>
          <w:tcPr>
            <w:tcW w:w="1433" w:type="dxa"/>
            <w:shd w:val="clear" w:color="auto" w:fill="E2EFD9" w:themeFill="accent6" w:themeFillTint="33"/>
          </w:tcPr>
          <w:p w:rsidR="00976A60" w:rsidRPr="00494148" w:rsidRDefault="00976A60" w:rsidP="00D65157">
            <w:pPr>
              <w:rPr>
                <w:sz w:val="24"/>
                <w:szCs w:val="24"/>
              </w:rPr>
            </w:pPr>
            <w:r w:rsidRPr="00494148">
              <w:rPr>
                <w:sz w:val="24"/>
                <w:szCs w:val="24"/>
              </w:rPr>
              <w:t xml:space="preserve">Map </w:t>
            </w:r>
          </w:p>
        </w:tc>
        <w:tc>
          <w:tcPr>
            <w:tcW w:w="3481" w:type="dxa"/>
            <w:shd w:val="clear" w:color="auto" w:fill="E2EFD9" w:themeFill="accent6" w:themeFillTint="33"/>
          </w:tcPr>
          <w:p w:rsidR="00976A60" w:rsidRPr="003333BC" w:rsidRDefault="00976A60" w:rsidP="00D65157">
            <w:pPr>
              <w:rPr>
                <w:sz w:val="24"/>
                <w:szCs w:val="24"/>
              </w:rPr>
            </w:pPr>
            <w:r>
              <w:rPr>
                <w:sz w:val="24"/>
                <w:szCs w:val="24"/>
              </w:rPr>
              <w:t xml:space="preserve">Council is seeking to correct mapping errors for 3 Dunois Street, Longueville. </w:t>
            </w:r>
          </w:p>
        </w:tc>
        <w:tc>
          <w:tcPr>
            <w:tcW w:w="3543" w:type="dxa"/>
            <w:shd w:val="clear" w:color="auto" w:fill="E2EFD9" w:themeFill="accent6" w:themeFillTint="33"/>
          </w:tcPr>
          <w:p w:rsidR="00976A60" w:rsidRDefault="00976A60" w:rsidP="00D65157">
            <w:pPr>
              <w:rPr>
                <w:b/>
                <w:sz w:val="24"/>
                <w:szCs w:val="24"/>
              </w:rPr>
            </w:pPr>
            <w:r w:rsidRPr="00F52B37">
              <w:t>The amendment as proposed by Council is supported</w:t>
            </w:r>
          </w:p>
        </w:tc>
        <w:tc>
          <w:tcPr>
            <w:tcW w:w="1460" w:type="dxa"/>
            <w:shd w:val="clear" w:color="auto" w:fill="E2EFD9" w:themeFill="accent6" w:themeFillTint="33"/>
          </w:tcPr>
          <w:p w:rsidR="00976A60" w:rsidRDefault="00976A60" w:rsidP="00D65157">
            <w:pPr>
              <w:rPr>
                <w:b/>
                <w:sz w:val="24"/>
                <w:szCs w:val="24"/>
              </w:rPr>
            </w:pPr>
            <w:r w:rsidRPr="008344DC">
              <w:rPr>
                <w:b/>
              </w:rPr>
              <w:t>Supported</w:t>
            </w:r>
          </w:p>
        </w:tc>
      </w:tr>
      <w:tr w:rsidR="00976A60" w:rsidTr="00201547">
        <w:trPr>
          <w:cantSplit/>
          <w:tblHeader/>
        </w:trPr>
        <w:tc>
          <w:tcPr>
            <w:tcW w:w="710" w:type="dxa"/>
            <w:shd w:val="clear" w:color="auto" w:fill="FFF2CC" w:themeFill="accent4" w:themeFillTint="33"/>
          </w:tcPr>
          <w:p w:rsidR="00976A60" w:rsidRDefault="00976A60" w:rsidP="00D65157">
            <w:pPr>
              <w:rPr>
                <w:b/>
                <w:sz w:val="24"/>
                <w:szCs w:val="24"/>
              </w:rPr>
            </w:pPr>
            <w:r>
              <w:rPr>
                <w:b/>
                <w:sz w:val="24"/>
                <w:szCs w:val="24"/>
              </w:rPr>
              <w:t>16</w:t>
            </w:r>
          </w:p>
          <w:p w:rsidR="00976A60" w:rsidRDefault="00976A60" w:rsidP="00D65157">
            <w:pPr>
              <w:rPr>
                <w:b/>
                <w:sz w:val="24"/>
                <w:szCs w:val="24"/>
              </w:rPr>
            </w:pPr>
          </w:p>
          <w:p w:rsidR="00976A60" w:rsidRDefault="00976A60" w:rsidP="00D65157">
            <w:pPr>
              <w:rPr>
                <w:b/>
                <w:sz w:val="24"/>
                <w:szCs w:val="24"/>
              </w:rPr>
            </w:pPr>
          </w:p>
          <w:p w:rsidR="00976A60" w:rsidRDefault="00976A60" w:rsidP="00D65157">
            <w:pPr>
              <w:rPr>
                <w:b/>
                <w:sz w:val="24"/>
                <w:szCs w:val="24"/>
              </w:rPr>
            </w:pPr>
          </w:p>
        </w:tc>
        <w:tc>
          <w:tcPr>
            <w:tcW w:w="3078" w:type="dxa"/>
            <w:shd w:val="clear" w:color="auto" w:fill="FFF2CC" w:themeFill="accent4" w:themeFillTint="33"/>
          </w:tcPr>
          <w:p w:rsidR="00201547" w:rsidRDefault="00976A60" w:rsidP="00201547">
            <w:pPr>
              <w:rPr>
                <w:b/>
              </w:rPr>
            </w:pPr>
            <w:r>
              <w:rPr>
                <w:b/>
              </w:rPr>
              <w:t xml:space="preserve">Add western portions </w:t>
            </w:r>
            <w:r w:rsidR="00201547">
              <w:rPr>
                <w:b/>
              </w:rPr>
              <w:t xml:space="preserve">of the following lots </w:t>
            </w:r>
            <w:r>
              <w:rPr>
                <w:b/>
              </w:rPr>
              <w:t>to Land Reservation Acquisition Map (LRA_002)</w:t>
            </w:r>
            <w:r w:rsidR="00201547">
              <w:rPr>
                <w:b/>
              </w:rPr>
              <w:t>:</w:t>
            </w:r>
            <w:r>
              <w:rPr>
                <w:b/>
              </w:rPr>
              <w:t xml:space="preserve"> </w:t>
            </w:r>
          </w:p>
          <w:p w:rsidR="00201547" w:rsidRPr="00201547" w:rsidRDefault="00201547" w:rsidP="00956415">
            <w:pPr>
              <w:pStyle w:val="ListParagraph"/>
              <w:numPr>
                <w:ilvl w:val="0"/>
                <w:numId w:val="28"/>
              </w:numPr>
              <w:spacing w:after="0" w:line="240" w:lineRule="auto"/>
              <w:ind w:left="317" w:hanging="284"/>
            </w:pPr>
            <w:r w:rsidRPr="00201547">
              <w:t xml:space="preserve">3A </w:t>
            </w:r>
            <w:proofErr w:type="spellStart"/>
            <w:r w:rsidRPr="00201547">
              <w:t>Dettmann</w:t>
            </w:r>
            <w:proofErr w:type="spellEnd"/>
            <w:r w:rsidRPr="00201547">
              <w:t xml:space="preserve"> Avenue (</w:t>
            </w:r>
            <w:r w:rsidRPr="00201547">
              <w:rPr>
                <w:rFonts w:ascii="Arial" w:eastAsia="Times New Roman" w:hAnsi="Arial" w:cs="Arial"/>
                <w:sz w:val="20"/>
                <w:szCs w:val="20"/>
                <w:lang w:val="en-US" w:eastAsia="en-AU"/>
              </w:rPr>
              <w:t>part of Lot 4 DP</w:t>
            </w:r>
            <w:r w:rsidR="00EA352E">
              <w:rPr>
                <w:rFonts w:ascii="Arial" w:eastAsia="Times New Roman" w:hAnsi="Arial" w:cs="Arial"/>
                <w:sz w:val="20"/>
                <w:szCs w:val="20"/>
                <w:lang w:val="en-US" w:eastAsia="en-AU"/>
              </w:rPr>
              <w:t>317113)</w:t>
            </w:r>
          </w:p>
          <w:p w:rsidR="00201547" w:rsidRPr="00201547" w:rsidRDefault="00201547" w:rsidP="00956415">
            <w:pPr>
              <w:pStyle w:val="ListParagraph"/>
              <w:numPr>
                <w:ilvl w:val="0"/>
                <w:numId w:val="28"/>
              </w:numPr>
              <w:spacing w:after="0" w:line="240" w:lineRule="auto"/>
              <w:ind w:left="317" w:hanging="284"/>
            </w:pPr>
            <w:r w:rsidRPr="00201547">
              <w:t xml:space="preserve">5A </w:t>
            </w:r>
            <w:proofErr w:type="spellStart"/>
            <w:r w:rsidRPr="00201547">
              <w:t>Dettmann</w:t>
            </w:r>
            <w:proofErr w:type="spellEnd"/>
            <w:r w:rsidRPr="00201547">
              <w:t xml:space="preserve"> Avenue (</w:t>
            </w:r>
            <w:r w:rsidRPr="00201547">
              <w:rPr>
                <w:rFonts w:ascii="Arial" w:eastAsia="Times New Roman" w:hAnsi="Arial" w:cs="Arial"/>
                <w:sz w:val="20"/>
                <w:szCs w:val="20"/>
                <w:lang w:val="en-US" w:eastAsia="en-AU"/>
              </w:rPr>
              <w:t>part of Lot 3 DP</w:t>
            </w:r>
            <w:r w:rsidR="00EA352E">
              <w:rPr>
                <w:rFonts w:ascii="Arial" w:eastAsia="Times New Roman" w:hAnsi="Arial" w:cs="Arial"/>
                <w:sz w:val="20"/>
                <w:szCs w:val="20"/>
                <w:lang w:val="en-US" w:eastAsia="en-AU"/>
              </w:rPr>
              <w:t>317113)</w:t>
            </w:r>
          </w:p>
          <w:p w:rsidR="00201547" w:rsidRPr="00201547" w:rsidRDefault="00201547" w:rsidP="00956415">
            <w:pPr>
              <w:pStyle w:val="ListParagraph"/>
              <w:numPr>
                <w:ilvl w:val="0"/>
                <w:numId w:val="28"/>
              </w:numPr>
              <w:spacing w:after="0" w:line="240" w:lineRule="auto"/>
              <w:ind w:left="317" w:hanging="284"/>
            </w:pPr>
            <w:r w:rsidRPr="00201547">
              <w:t xml:space="preserve">7 </w:t>
            </w:r>
            <w:proofErr w:type="spellStart"/>
            <w:r w:rsidRPr="00201547">
              <w:t>Dettmann</w:t>
            </w:r>
            <w:proofErr w:type="spellEnd"/>
            <w:r w:rsidRPr="00201547">
              <w:t xml:space="preserve"> Avenue (part of </w:t>
            </w:r>
            <w:r w:rsidRPr="00201547">
              <w:rPr>
                <w:rFonts w:ascii="Arial" w:eastAsia="Times New Roman" w:hAnsi="Arial" w:cs="Arial"/>
                <w:sz w:val="20"/>
                <w:szCs w:val="20"/>
                <w:lang w:val="en-US" w:eastAsia="en-AU"/>
              </w:rPr>
              <w:t>Lot 17 DP2702)</w:t>
            </w:r>
          </w:p>
          <w:p w:rsidR="00976A60" w:rsidRPr="00201547" w:rsidRDefault="00201547" w:rsidP="00956415">
            <w:pPr>
              <w:pStyle w:val="ListParagraph"/>
              <w:numPr>
                <w:ilvl w:val="0"/>
                <w:numId w:val="28"/>
              </w:numPr>
              <w:spacing w:after="0" w:line="240" w:lineRule="auto"/>
              <w:ind w:left="317" w:hanging="284"/>
              <w:rPr>
                <w:b/>
              </w:rPr>
            </w:pPr>
            <w:r w:rsidRPr="00201547">
              <w:t>41 Stuart Street (</w:t>
            </w:r>
            <w:r w:rsidRPr="00201547">
              <w:rPr>
                <w:rFonts w:ascii="Arial" w:eastAsia="Times New Roman" w:hAnsi="Arial" w:cs="Arial"/>
                <w:sz w:val="20"/>
                <w:szCs w:val="20"/>
                <w:lang w:val="en-US" w:eastAsia="en-AU"/>
              </w:rPr>
              <w:t>Lot 2 DP205722)</w:t>
            </w:r>
          </w:p>
        </w:tc>
        <w:tc>
          <w:tcPr>
            <w:tcW w:w="1647" w:type="dxa"/>
            <w:shd w:val="clear" w:color="auto" w:fill="FFF2CC" w:themeFill="accent4" w:themeFillTint="33"/>
          </w:tcPr>
          <w:p w:rsidR="00976A60" w:rsidRPr="008054DF" w:rsidRDefault="00976A60" w:rsidP="00D65157">
            <w:pPr>
              <w:rPr>
                <w:sz w:val="24"/>
                <w:szCs w:val="24"/>
              </w:rPr>
            </w:pPr>
            <w:r>
              <w:rPr>
                <w:sz w:val="24"/>
                <w:szCs w:val="24"/>
              </w:rPr>
              <w:t xml:space="preserve">Properties not currently identified on LRA Map. </w:t>
            </w:r>
          </w:p>
        </w:tc>
        <w:tc>
          <w:tcPr>
            <w:tcW w:w="1433" w:type="dxa"/>
            <w:shd w:val="clear" w:color="auto" w:fill="FFF2CC" w:themeFill="accent4" w:themeFillTint="33"/>
          </w:tcPr>
          <w:p w:rsidR="00976A60" w:rsidRPr="00494148" w:rsidRDefault="00976A60" w:rsidP="00D65157">
            <w:pPr>
              <w:rPr>
                <w:sz w:val="24"/>
                <w:szCs w:val="24"/>
              </w:rPr>
            </w:pPr>
            <w:r w:rsidRPr="00494148">
              <w:rPr>
                <w:sz w:val="24"/>
                <w:szCs w:val="24"/>
              </w:rPr>
              <w:t xml:space="preserve">Map </w:t>
            </w:r>
          </w:p>
        </w:tc>
        <w:tc>
          <w:tcPr>
            <w:tcW w:w="3481" w:type="dxa"/>
            <w:shd w:val="clear" w:color="auto" w:fill="FFF2CC" w:themeFill="accent4" w:themeFillTint="33"/>
          </w:tcPr>
          <w:p w:rsidR="00976A60" w:rsidRDefault="00976A60" w:rsidP="00D65157">
            <w:pPr>
              <w:rPr>
                <w:sz w:val="24"/>
                <w:szCs w:val="24"/>
              </w:rPr>
            </w:pPr>
            <w:r>
              <w:rPr>
                <w:sz w:val="24"/>
                <w:szCs w:val="24"/>
              </w:rPr>
              <w:t xml:space="preserve">Council is seeking to add part of properties to the Land Reservation Acquisition Map that have already been zoned E2 Environmental Conservation in anticipation of this occurring.  </w:t>
            </w:r>
            <w:r w:rsidR="00201547">
              <w:rPr>
                <w:sz w:val="24"/>
                <w:szCs w:val="24"/>
              </w:rPr>
              <w:t xml:space="preserve"> </w:t>
            </w:r>
          </w:p>
          <w:p w:rsidR="00201547" w:rsidRDefault="00201547" w:rsidP="00D65157">
            <w:pPr>
              <w:rPr>
                <w:sz w:val="24"/>
                <w:szCs w:val="24"/>
              </w:rPr>
            </w:pPr>
          </w:p>
          <w:p w:rsidR="00976A60" w:rsidRPr="00201547" w:rsidRDefault="00201547" w:rsidP="00201547">
            <w:pPr>
              <w:tabs>
                <w:tab w:val="left" w:pos="2210"/>
              </w:tabs>
              <w:rPr>
                <w:sz w:val="24"/>
                <w:szCs w:val="24"/>
              </w:rPr>
            </w:pPr>
            <w:r>
              <w:rPr>
                <w:sz w:val="24"/>
                <w:szCs w:val="24"/>
              </w:rPr>
              <w:tab/>
              <w:t xml:space="preserve"> </w:t>
            </w:r>
          </w:p>
        </w:tc>
        <w:tc>
          <w:tcPr>
            <w:tcW w:w="3543" w:type="dxa"/>
            <w:shd w:val="clear" w:color="auto" w:fill="FFF2CC" w:themeFill="accent4" w:themeFillTint="33"/>
          </w:tcPr>
          <w:p w:rsidR="00976A60" w:rsidRPr="00F52B37" w:rsidRDefault="00976A60" w:rsidP="00D65157">
            <w:r>
              <w:t xml:space="preserve">The amendment as proposed by Council is supported subject to consultation with affected landowners. </w:t>
            </w:r>
          </w:p>
        </w:tc>
        <w:tc>
          <w:tcPr>
            <w:tcW w:w="1460" w:type="dxa"/>
            <w:shd w:val="clear" w:color="auto" w:fill="FFF2CC" w:themeFill="accent4" w:themeFillTint="33"/>
          </w:tcPr>
          <w:p w:rsidR="00976A60" w:rsidRPr="008344DC" w:rsidRDefault="00976A60" w:rsidP="00D65157">
            <w:pPr>
              <w:rPr>
                <w:b/>
              </w:rPr>
            </w:pPr>
            <w:r>
              <w:rPr>
                <w:b/>
              </w:rPr>
              <w:t xml:space="preserve">Supported subject to consultation with affected land owners </w:t>
            </w:r>
          </w:p>
        </w:tc>
      </w:tr>
      <w:tr w:rsidR="00976A60" w:rsidTr="00201547">
        <w:trPr>
          <w:cantSplit/>
          <w:tblHeader/>
        </w:trPr>
        <w:tc>
          <w:tcPr>
            <w:tcW w:w="710" w:type="dxa"/>
            <w:shd w:val="clear" w:color="auto" w:fill="FFF2CC" w:themeFill="accent4" w:themeFillTint="33"/>
          </w:tcPr>
          <w:p w:rsidR="00976A60" w:rsidRDefault="00976A60" w:rsidP="00D65157">
            <w:pPr>
              <w:rPr>
                <w:b/>
                <w:sz w:val="24"/>
                <w:szCs w:val="24"/>
              </w:rPr>
            </w:pPr>
            <w:r>
              <w:rPr>
                <w:b/>
                <w:sz w:val="24"/>
                <w:szCs w:val="24"/>
              </w:rPr>
              <w:t>17</w:t>
            </w:r>
          </w:p>
        </w:tc>
        <w:tc>
          <w:tcPr>
            <w:tcW w:w="3078" w:type="dxa"/>
            <w:shd w:val="clear" w:color="auto" w:fill="FFF2CC" w:themeFill="accent4" w:themeFillTint="33"/>
          </w:tcPr>
          <w:p w:rsidR="00976A60" w:rsidRDefault="00976A60" w:rsidP="00D65157">
            <w:pPr>
              <w:rPr>
                <w:b/>
              </w:rPr>
            </w:pPr>
            <w:r>
              <w:rPr>
                <w:b/>
              </w:rPr>
              <w:t xml:space="preserve">Apply an Environmental Protection (EP) Layer over the southern portion of </w:t>
            </w:r>
            <w:r w:rsidR="00201547">
              <w:rPr>
                <w:b/>
              </w:rPr>
              <w:t xml:space="preserve">the following lots </w:t>
            </w:r>
            <w:r>
              <w:rPr>
                <w:b/>
              </w:rPr>
              <w:t xml:space="preserve">on the Environmental Protection Land Map (CL1_001). </w:t>
            </w:r>
          </w:p>
          <w:p w:rsidR="00976A60" w:rsidRPr="00201547" w:rsidRDefault="00201547" w:rsidP="00956415">
            <w:pPr>
              <w:pStyle w:val="ListParagraph"/>
              <w:numPr>
                <w:ilvl w:val="0"/>
                <w:numId w:val="29"/>
              </w:numPr>
              <w:spacing w:after="0" w:line="240" w:lineRule="auto"/>
              <w:ind w:left="317" w:hanging="284"/>
            </w:pPr>
            <w:r w:rsidRPr="00201547">
              <w:t>14 Gay Street</w:t>
            </w:r>
          </w:p>
          <w:p w:rsidR="00976A60" w:rsidRDefault="00976A60" w:rsidP="00D65157">
            <w:pPr>
              <w:rPr>
                <w:b/>
              </w:rPr>
            </w:pPr>
          </w:p>
          <w:p w:rsidR="00976A60" w:rsidRDefault="00976A60" w:rsidP="00D65157">
            <w:pPr>
              <w:rPr>
                <w:b/>
              </w:rPr>
            </w:pPr>
          </w:p>
          <w:p w:rsidR="00976A60" w:rsidRDefault="00976A60" w:rsidP="00D65157">
            <w:pPr>
              <w:rPr>
                <w:b/>
              </w:rPr>
            </w:pPr>
          </w:p>
          <w:p w:rsidR="00976A60" w:rsidRPr="003333BC" w:rsidRDefault="00976A60" w:rsidP="00D65157">
            <w:pPr>
              <w:rPr>
                <w:b/>
              </w:rPr>
            </w:pPr>
          </w:p>
        </w:tc>
        <w:tc>
          <w:tcPr>
            <w:tcW w:w="1647" w:type="dxa"/>
            <w:shd w:val="clear" w:color="auto" w:fill="FFF2CC" w:themeFill="accent4" w:themeFillTint="33"/>
          </w:tcPr>
          <w:p w:rsidR="00976A60" w:rsidRPr="0004729E" w:rsidRDefault="00976A60" w:rsidP="00D65157">
            <w:pPr>
              <w:rPr>
                <w:sz w:val="24"/>
                <w:szCs w:val="24"/>
              </w:rPr>
            </w:pPr>
            <w:r>
              <w:rPr>
                <w:sz w:val="24"/>
                <w:szCs w:val="24"/>
              </w:rPr>
              <w:t xml:space="preserve">Property not currently identified on the CL Map </w:t>
            </w:r>
          </w:p>
        </w:tc>
        <w:tc>
          <w:tcPr>
            <w:tcW w:w="1433" w:type="dxa"/>
            <w:shd w:val="clear" w:color="auto" w:fill="FFF2CC" w:themeFill="accent4" w:themeFillTint="33"/>
          </w:tcPr>
          <w:p w:rsidR="00976A60" w:rsidRPr="00494148" w:rsidRDefault="00976A60" w:rsidP="00D65157">
            <w:pPr>
              <w:rPr>
                <w:sz w:val="24"/>
                <w:szCs w:val="24"/>
              </w:rPr>
            </w:pPr>
            <w:r w:rsidRPr="00494148">
              <w:rPr>
                <w:sz w:val="24"/>
                <w:szCs w:val="24"/>
              </w:rPr>
              <w:t>Map</w:t>
            </w:r>
          </w:p>
        </w:tc>
        <w:tc>
          <w:tcPr>
            <w:tcW w:w="3481" w:type="dxa"/>
            <w:shd w:val="clear" w:color="auto" w:fill="FFF2CC" w:themeFill="accent4" w:themeFillTint="33"/>
          </w:tcPr>
          <w:p w:rsidR="00976A60" w:rsidRDefault="00976A60" w:rsidP="00D65157">
            <w:pPr>
              <w:rPr>
                <w:rFonts w:cs="Arial"/>
                <w:sz w:val="24"/>
                <w:szCs w:val="24"/>
              </w:rPr>
            </w:pPr>
            <w:r w:rsidRPr="0004729E">
              <w:rPr>
                <w:rFonts w:cs="Arial"/>
                <w:sz w:val="24"/>
                <w:szCs w:val="24"/>
                <w:lang w:val="en-US"/>
              </w:rPr>
              <w:t xml:space="preserve">Council’s Open Space &amp; Urban Services Division and the Lane Cove Bushland Management Advisory Committee have identified the site as an integral part of Upper Stringybark Reserve, valuable ecologically and aesthetically. </w:t>
            </w:r>
            <w:r w:rsidRPr="0004729E">
              <w:rPr>
                <w:rFonts w:cs="Arial"/>
                <w:sz w:val="24"/>
                <w:szCs w:val="24"/>
              </w:rPr>
              <w:t>This includes an Endangered Ecological Community – Sydney Turpentine Ironbark Forest. The site is 2,790m2 in total. A developable area of around 1,500m2 would remain.</w:t>
            </w:r>
          </w:p>
          <w:p w:rsidR="00976A60" w:rsidRPr="0004729E" w:rsidRDefault="00976A60" w:rsidP="00D65157">
            <w:pPr>
              <w:rPr>
                <w:sz w:val="24"/>
                <w:szCs w:val="24"/>
              </w:rPr>
            </w:pPr>
          </w:p>
        </w:tc>
        <w:tc>
          <w:tcPr>
            <w:tcW w:w="3543" w:type="dxa"/>
            <w:shd w:val="clear" w:color="auto" w:fill="FFF2CC" w:themeFill="accent4" w:themeFillTint="33"/>
          </w:tcPr>
          <w:p w:rsidR="00976A60" w:rsidRPr="00F52B37" w:rsidRDefault="00976A60" w:rsidP="00D65157">
            <w:r>
              <w:t xml:space="preserve">The amendment as proposed by Council is supported subject to </w:t>
            </w:r>
            <w:r>
              <w:rPr>
                <w:sz w:val="24"/>
                <w:szCs w:val="24"/>
              </w:rPr>
              <w:t xml:space="preserve">further information from Council to justify applying the EP layer plus </w:t>
            </w:r>
            <w:r>
              <w:t>consultation with the affected landowner.</w:t>
            </w:r>
          </w:p>
        </w:tc>
        <w:tc>
          <w:tcPr>
            <w:tcW w:w="1460" w:type="dxa"/>
            <w:shd w:val="clear" w:color="auto" w:fill="FFF2CC" w:themeFill="accent4" w:themeFillTint="33"/>
          </w:tcPr>
          <w:p w:rsidR="00976A60" w:rsidRDefault="00976A60" w:rsidP="00D65157">
            <w:pPr>
              <w:rPr>
                <w:b/>
              </w:rPr>
            </w:pPr>
            <w:r w:rsidRPr="00475E87">
              <w:rPr>
                <w:b/>
                <w:sz w:val="24"/>
                <w:szCs w:val="24"/>
              </w:rPr>
              <w:t>Supported subject to</w:t>
            </w:r>
            <w:r>
              <w:rPr>
                <w:sz w:val="24"/>
                <w:szCs w:val="24"/>
              </w:rPr>
              <w:t xml:space="preserve"> </w:t>
            </w:r>
            <w:r w:rsidRPr="00475E87">
              <w:rPr>
                <w:b/>
                <w:sz w:val="24"/>
                <w:szCs w:val="24"/>
              </w:rPr>
              <w:t>further information from Council to justify applying the EP layer plus</w:t>
            </w:r>
            <w:r>
              <w:rPr>
                <w:b/>
              </w:rPr>
              <w:t xml:space="preserve"> </w:t>
            </w:r>
            <w:r w:rsidRPr="00475E87">
              <w:rPr>
                <w:b/>
                <w:sz w:val="24"/>
                <w:szCs w:val="24"/>
              </w:rPr>
              <w:t>consultation with the affected land owner</w:t>
            </w:r>
            <w:r>
              <w:rPr>
                <w:b/>
              </w:rPr>
              <w:t>.</w:t>
            </w:r>
          </w:p>
        </w:tc>
      </w:tr>
    </w:tbl>
    <w:p w:rsidR="002F68C4" w:rsidRPr="00DB4A90" w:rsidRDefault="00CE01B3">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sectPr w:rsidR="002F68C4" w:rsidRPr="00DB4A90" w:rsidSect="00976A60">
      <w:pgSz w:w="16839" w:h="11907" w:orient="landscape" w:code="9"/>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3CA8"/>
    <w:multiLevelType w:val="hybridMultilevel"/>
    <w:tmpl w:val="C186C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324E0"/>
    <w:multiLevelType w:val="hybridMultilevel"/>
    <w:tmpl w:val="BFBC0FFC"/>
    <w:lvl w:ilvl="0" w:tplc="56648E12">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5F59B3"/>
    <w:multiLevelType w:val="hybridMultilevel"/>
    <w:tmpl w:val="EA6A9DB8"/>
    <w:lvl w:ilvl="0" w:tplc="04021E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D42917"/>
    <w:multiLevelType w:val="hybridMultilevel"/>
    <w:tmpl w:val="9608344C"/>
    <w:lvl w:ilvl="0" w:tplc="5576F8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1379F3"/>
    <w:multiLevelType w:val="hybridMultilevel"/>
    <w:tmpl w:val="5DCE137E"/>
    <w:lvl w:ilvl="0" w:tplc="D17AD606">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463593"/>
    <w:multiLevelType w:val="hybridMultilevel"/>
    <w:tmpl w:val="0A9E8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531876"/>
    <w:multiLevelType w:val="hybridMultilevel"/>
    <w:tmpl w:val="4A4EFC38"/>
    <w:lvl w:ilvl="0" w:tplc="479E02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885D1C"/>
    <w:multiLevelType w:val="hybridMultilevel"/>
    <w:tmpl w:val="7284D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2D7797"/>
    <w:multiLevelType w:val="hybridMultilevel"/>
    <w:tmpl w:val="AFC460A4"/>
    <w:lvl w:ilvl="0" w:tplc="599C2BB2">
      <w:start w:val="1"/>
      <w:numFmt w:val="lowerLetter"/>
      <w:lvlText w:val="%1)"/>
      <w:lvlJc w:val="left"/>
      <w:pPr>
        <w:ind w:left="786" w:hanging="360"/>
      </w:pPr>
      <w:rPr>
        <w:rFonts w:eastAsia="Times New Roman" w:cs="Aria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2E1D5867"/>
    <w:multiLevelType w:val="hybridMultilevel"/>
    <w:tmpl w:val="CD303172"/>
    <w:lvl w:ilvl="0" w:tplc="F2A671D8">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DF6465"/>
    <w:multiLevelType w:val="hybridMultilevel"/>
    <w:tmpl w:val="71DA4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9F1999"/>
    <w:multiLevelType w:val="hybridMultilevel"/>
    <w:tmpl w:val="8F9E43F4"/>
    <w:lvl w:ilvl="0" w:tplc="2A8211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C43C2B"/>
    <w:multiLevelType w:val="hybridMultilevel"/>
    <w:tmpl w:val="12F82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B61529"/>
    <w:multiLevelType w:val="hybridMultilevel"/>
    <w:tmpl w:val="D6F05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9842AA2"/>
    <w:multiLevelType w:val="hybridMultilevel"/>
    <w:tmpl w:val="D850EF98"/>
    <w:lvl w:ilvl="0" w:tplc="5CC8D1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93318C"/>
    <w:multiLevelType w:val="hybridMultilevel"/>
    <w:tmpl w:val="BAAA7C48"/>
    <w:lvl w:ilvl="0" w:tplc="5CC8D1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315F61"/>
    <w:multiLevelType w:val="hybridMultilevel"/>
    <w:tmpl w:val="DA5A3786"/>
    <w:lvl w:ilvl="0" w:tplc="C4E406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732D02"/>
    <w:multiLevelType w:val="hybridMultilevel"/>
    <w:tmpl w:val="4BEE5EF0"/>
    <w:lvl w:ilvl="0" w:tplc="CE78769A">
      <w:start w:val="1"/>
      <w:numFmt w:val="lowerLetter"/>
      <w:lvlText w:val="(%1)"/>
      <w:lvlJc w:val="left"/>
      <w:pPr>
        <w:ind w:left="-40" w:hanging="360"/>
      </w:pPr>
      <w:rPr>
        <w:rFonts w:hint="default"/>
      </w:rPr>
    </w:lvl>
    <w:lvl w:ilvl="1" w:tplc="0C090019" w:tentative="1">
      <w:start w:val="1"/>
      <w:numFmt w:val="lowerLetter"/>
      <w:lvlText w:val="%2."/>
      <w:lvlJc w:val="left"/>
      <w:pPr>
        <w:ind w:left="680" w:hanging="360"/>
      </w:pPr>
    </w:lvl>
    <w:lvl w:ilvl="2" w:tplc="0C09001B" w:tentative="1">
      <w:start w:val="1"/>
      <w:numFmt w:val="lowerRoman"/>
      <w:lvlText w:val="%3."/>
      <w:lvlJc w:val="right"/>
      <w:pPr>
        <w:ind w:left="1400" w:hanging="180"/>
      </w:pPr>
    </w:lvl>
    <w:lvl w:ilvl="3" w:tplc="0C09000F" w:tentative="1">
      <w:start w:val="1"/>
      <w:numFmt w:val="decimal"/>
      <w:lvlText w:val="%4."/>
      <w:lvlJc w:val="left"/>
      <w:pPr>
        <w:ind w:left="2120" w:hanging="360"/>
      </w:pPr>
    </w:lvl>
    <w:lvl w:ilvl="4" w:tplc="0C090019" w:tentative="1">
      <w:start w:val="1"/>
      <w:numFmt w:val="lowerLetter"/>
      <w:lvlText w:val="%5."/>
      <w:lvlJc w:val="left"/>
      <w:pPr>
        <w:ind w:left="2840" w:hanging="360"/>
      </w:pPr>
    </w:lvl>
    <w:lvl w:ilvl="5" w:tplc="0C09001B" w:tentative="1">
      <w:start w:val="1"/>
      <w:numFmt w:val="lowerRoman"/>
      <w:lvlText w:val="%6."/>
      <w:lvlJc w:val="right"/>
      <w:pPr>
        <w:ind w:left="3560" w:hanging="180"/>
      </w:pPr>
    </w:lvl>
    <w:lvl w:ilvl="6" w:tplc="0C09000F" w:tentative="1">
      <w:start w:val="1"/>
      <w:numFmt w:val="decimal"/>
      <w:lvlText w:val="%7."/>
      <w:lvlJc w:val="left"/>
      <w:pPr>
        <w:ind w:left="4280" w:hanging="360"/>
      </w:pPr>
    </w:lvl>
    <w:lvl w:ilvl="7" w:tplc="0C090019" w:tentative="1">
      <w:start w:val="1"/>
      <w:numFmt w:val="lowerLetter"/>
      <w:lvlText w:val="%8."/>
      <w:lvlJc w:val="left"/>
      <w:pPr>
        <w:ind w:left="5000" w:hanging="360"/>
      </w:pPr>
    </w:lvl>
    <w:lvl w:ilvl="8" w:tplc="0C09001B" w:tentative="1">
      <w:start w:val="1"/>
      <w:numFmt w:val="lowerRoman"/>
      <w:lvlText w:val="%9."/>
      <w:lvlJc w:val="right"/>
      <w:pPr>
        <w:ind w:left="5720" w:hanging="180"/>
      </w:pPr>
    </w:lvl>
  </w:abstractNum>
  <w:abstractNum w:abstractNumId="18" w15:restartNumberingAfterBreak="0">
    <w:nsid w:val="45E35D9A"/>
    <w:multiLevelType w:val="hybridMultilevel"/>
    <w:tmpl w:val="FE7EDD2E"/>
    <w:lvl w:ilvl="0" w:tplc="FC1087B0">
      <w:start w:val="3"/>
      <w:numFmt w:val="bullet"/>
      <w:lvlText w:val=""/>
      <w:lvlJc w:val="left"/>
      <w:pPr>
        <w:ind w:left="405" w:hanging="360"/>
      </w:pPr>
      <w:rPr>
        <w:rFonts w:ascii="Symbol" w:eastAsia="Times New Roman" w:hAnsi="Symbo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9" w15:restartNumberingAfterBreak="0">
    <w:nsid w:val="53175483"/>
    <w:multiLevelType w:val="hybridMultilevel"/>
    <w:tmpl w:val="FCC23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632B52"/>
    <w:multiLevelType w:val="hybridMultilevel"/>
    <w:tmpl w:val="695448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5E4B33"/>
    <w:multiLevelType w:val="hybridMultilevel"/>
    <w:tmpl w:val="FFA4FEC6"/>
    <w:lvl w:ilvl="0" w:tplc="79DC7D5E">
      <w:start w:val="302"/>
      <w:numFmt w:val="bullet"/>
      <w:lvlText w:val=""/>
      <w:lvlJc w:val="left"/>
      <w:pPr>
        <w:ind w:left="720" w:hanging="360"/>
      </w:pPr>
      <w:rPr>
        <w:rFonts w:ascii="Symbol" w:eastAsia="Calibri"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5BC7225B"/>
    <w:multiLevelType w:val="hybridMultilevel"/>
    <w:tmpl w:val="90E29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9538B5"/>
    <w:multiLevelType w:val="hybridMultilevel"/>
    <w:tmpl w:val="E1DAE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2E0A01"/>
    <w:multiLevelType w:val="hybridMultilevel"/>
    <w:tmpl w:val="3DA4189E"/>
    <w:lvl w:ilvl="0" w:tplc="0AA6F7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866EDA"/>
    <w:multiLevelType w:val="hybridMultilevel"/>
    <w:tmpl w:val="723C0934"/>
    <w:lvl w:ilvl="0" w:tplc="CA90953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3C35FF8"/>
    <w:multiLevelType w:val="hybridMultilevel"/>
    <w:tmpl w:val="C796716A"/>
    <w:lvl w:ilvl="0" w:tplc="7C9033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2A25A2"/>
    <w:multiLevelType w:val="hybridMultilevel"/>
    <w:tmpl w:val="C0D654B4"/>
    <w:lvl w:ilvl="0" w:tplc="B08671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3437C5"/>
    <w:multiLevelType w:val="hybridMultilevel"/>
    <w:tmpl w:val="7E146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F4B428F"/>
    <w:multiLevelType w:val="hybridMultilevel"/>
    <w:tmpl w:val="AB8817F0"/>
    <w:lvl w:ilvl="0" w:tplc="CFDCB3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
  </w:num>
  <w:num w:numId="3">
    <w:abstractNumId w:val="11"/>
  </w:num>
  <w:num w:numId="4">
    <w:abstractNumId w:val="9"/>
  </w:num>
  <w:num w:numId="5">
    <w:abstractNumId w:val="18"/>
  </w:num>
  <w:num w:numId="6">
    <w:abstractNumId w:val="3"/>
  </w:num>
  <w:num w:numId="7">
    <w:abstractNumId w:val="6"/>
  </w:num>
  <w:num w:numId="8">
    <w:abstractNumId w:val="25"/>
  </w:num>
  <w:num w:numId="9">
    <w:abstractNumId w:val="24"/>
  </w:num>
  <w:num w:numId="10">
    <w:abstractNumId w:val="27"/>
  </w:num>
  <w:num w:numId="11">
    <w:abstractNumId w:val="26"/>
  </w:num>
  <w:num w:numId="12">
    <w:abstractNumId w:val="29"/>
  </w:num>
  <w:num w:numId="13">
    <w:abstractNumId w:val="2"/>
  </w:num>
  <w:num w:numId="14">
    <w:abstractNumId w:val="4"/>
  </w:num>
  <w:num w:numId="15">
    <w:abstractNumId w:val="14"/>
  </w:num>
  <w:num w:numId="16">
    <w:abstractNumId w:val="16"/>
  </w:num>
  <w:num w:numId="17">
    <w:abstractNumId w:val="15"/>
  </w:num>
  <w:num w:numId="18">
    <w:abstractNumId w:val="17"/>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28"/>
  </w:num>
  <w:num w:numId="23">
    <w:abstractNumId w:val="7"/>
  </w:num>
  <w:num w:numId="24">
    <w:abstractNumId w:val="22"/>
  </w:num>
  <w:num w:numId="25">
    <w:abstractNumId w:val="5"/>
  </w:num>
  <w:num w:numId="26">
    <w:abstractNumId w:val="19"/>
  </w:num>
  <w:num w:numId="27">
    <w:abstractNumId w:val="23"/>
  </w:num>
  <w:num w:numId="28">
    <w:abstractNumId w:val="0"/>
  </w:num>
  <w:num w:numId="29">
    <w:abstractNumId w:val="1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30"/>
    <w:rsid w:val="0000324D"/>
    <w:rsid w:val="00004E8C"/>
    <w:rsid w:val="000157A2"/>
    <w:rsid w:val="00021703"/>
    <w:rsid w:val="000218F3"/>
    <w:rsid w:val="000225B3"/>
    <w:rsid w:val="00031180"/>
    <w:rsid w:val="000369ED"/>
    <w:rsid w:val="00046998"/>
    <w:rsid w:val="0004729E"/>
    <w:rsid w:val="00052A6A"/>
    <w:rsid w:val="00055C44"/>
    <w:rsid w:val="000767E0"/>
    <w:rsid w:val="00083B28"/>
    <w:rsid w:val="00085195"/>
    <w:rsid w:val="0009501F"/>
    <w:rsid w:val="000A23DC"/>
    <w:rsid w:val="000B576D"/>
    <w:rsid w:val="000B5E3E"/>
    <w:rsid w:val="000E271F"/>
    <w:rsid w:val="000F2BD7"/>
    <w:rsid w:val="000F2C54"/>
    <w:rsid w:val="000F31B6"/>
    <w:rsid w:val="001273F3"/>
    <w:rsid w:val="0013466C"/>
    <w:rsid w:val="0013513C"/>
    <w:rsid w:val="00137089"/>
    <w:rsid w:val="001600E1"/>
    <w:rsid w:val="00181F30"/>
    <w:rsid w:val="001A1F32"/>
    <w:rsid w:val="001B5FA2"/>
    <w:rsid w:val="001D1ED8"/>
    <w:rsid w:val="001E7637"/>
    <w:rsid w:val="001F41C8"/>
    <w:rsid w:val="00201547"/>
    <w:rsid w:val="002042A3"/>
    <w:rsid w:val="00205028"/>
    <w:rsid w:val="002050EF"/>
    <w:rsid w:val="002073DB"/>
    <w:rsid w:val="00211215"/>
    <w:rsid w:val="00212ACC"/>
    <w:rsid w:val="0022707D"/>
    <w:rsid w:val="00231C91"/>
    <w:rsid w:val="00236DAA"/>
    <w:rsid w:val="00241E35"/>
    <w:rsid w:val="0025026E"/>
    <w:rsid w:val="00254D05"/>
    <w:rsid w:val="002550EA"/>
    <w:rsid w:val="00256782"/>
    <w:rsid w:val="00260810"/>
    <w:rsid w:val="0026352E"/>
    <w:rsid w:val="00281CC8"/>
    <w:rsid w:val="0028422C"/>
    <w:rsid w:val="002914D7"/>
    <w:rsid w:val="00294BB6"/>
    <w:rsid w:val="002A250E"/>
    <w:rsid w:val="002B40D7"/>
    <w:rsid w:val="002C447B"/>
    <w:rsid w:val="002C6AE5"/>
    <w:rsid w:val="002D124F"/>
    <w:rsid w:val="002F37E2"/>
    <w:rsid w:val="002F60A8"/>
    <w:rsid w:val="002F68C4"/>
    <w:rsid w:val="003126D4"/>
    <w:rsid w:val="003333BC"/>
    <w:rsid w:val="00333F45"/>
    <w:rsid w:val="00375CB1"/>
    <w:rsid w:val="003825D5"/>
    <w:rsid w:val="00390290"/>
    <w:rsid w:val="003905B5"/>
    <w:rsid w:val="00391AD4"/>
    <w:rsid w:val="0039365F"/>
    <w:rsid w:val="003967FC"/>
    <w:rsid w:val="003B205F"/>
    <w:rsid w:val="003B6094"/>
    <w:rsid w:val="003C03FA"/>
    <w:rsid w:val="003D0C70"/>
    <w:rsid w:val="003D0E42"/>
    <w:rsid w:val="003D7689"/>
    <w:rsid w:val="003E3771"/>
    <w:rsid w:val="003F1A8A"/>
    <w:rsid w:val="003F206C"/>
    <w:rsid w:val="00401AB9"/>
    <w:rsid w:val="00401BBD"/>
    <w:rsid w:val="00407C40"/>
    <w:rsid w:val="00410191"/>
    <w:rsid w:val="0043035E"/>
    <w:rsid w:val="00430A3C"/>
    <w:rsid w:val="00433511"/>
    <w:rsid w:val="004408CE"/>
    <w:rsid w:val="00443E65"/>
    <w:rsid w:val="004673D8"/>
    <w:rsid w:val="00475E87"/>
    <w:rsid w:val="00493B6A"/>
    <w:rsid w:val="00494148"/>
    <w:rsid w:val="0049678D"/>
    <w:rsid w:val="004B3CAB"/>
    <w:rsid w:val="004C06A8"/>
    <w:rsid w:val="004C3240"/>
    <w:rsid w:val="004E5329"/>
    <w:rsid w:val="004E794A"/>
    <w:rsid w:val="005012C9"/>
    <w:rsid w:val="00512FF7"/>
    <w:rsid w:val="00513826"/>
    <w:rsid w:val="005163D2"/>
    <w:rsid w:val="005400A0"/>
    <w:rsid w:val="0054285A"/>
    <w:rsid w:val="005458BA"/>
    <w:rsid w:val="005529F2"/>
    <w:rsid w:val="00562C11"/>
    <w:rsid w:val="00566411"/>
    <w:rsid w:val="005724C8"/>
    <w:rsid w:val="00577A92"/>
    <w:rsid w:val="005856ED"/>
    <w:rsid w:val="00592FFE"/>
    <w:rsid w:val="00596085"/>
    <w:rsid w:val="005B604F"/>
    <w:rsid w:val="005C21F1"/>
    <w:rsid w:val="005D09F2"/>
    <w:rsid w:val="005E3BF9"/>
    <w:rsid w:val="005E6CD4"/>
    <w:rsid w:val="005F5C72"/>
    <w:rsid w:val="005F71A4"/>
    <w:rsid w:val="00603605"/>
    <w:rsid w:val="00604724"/>
    <w:rsid w:val="006102BA"/>
    <w:rsid w:val="00611364"/>
    <w:rsid w:val="00634D2D"/>
    <w:rsid w:val="00634F85"/>
    <w:rsid w:val="00654783"/>
    <w:rsid w:val="00661250"/>
    <w:rsid w:val="00667906"/>
    <w:rsid w:val="006A0457"/>
    <w:rsid w:val="006A3E7E"/>
    <w:rsid w:val="006A6D51"/>
    <w:rsid w:val="006A6E64"/>
    <w:rsid w:val="006B2592"/>
    <w:rsid w:val="006B2A2B"/>
    <w:rsid w:val="006B2A76"/>
    <w:rsid w:val="006C2F87"/>
    <w:rsid w:val="006D3FD7"/>
    <w:rsid w:val="006D5F97"/>
    <w:rsid w:val="006D6739"/>
    <w:rsid w:val="006E28BF"/>
    <w:rsid w:val="006E7970"/>
    <w:rsid w:val="006F1426"/>
    <w:rsid w:val="006F2904"/>
    <w:rsid w:val="006F313E"/>
    <w:rsid w:val="00707F8E"/>
    <w:rsid w:val="007175F9"/>
    <w:rsid w:val="0072585F"/>
    <w:rsid w:val="00726A1E"/>
    <w:rsid w:val="007325D9"/>
    <w:rsid w:val="0073310E"/>
    <w:rsid w:val="0073639B"/>
    <w:rsid w:val="00751AF3"/>
    <w:rsid w:val="00753DA3"/>
    <w:rsid w:val="00757B24"/>
    <w:rsid w:val="00757CD5"/>
    <w:rsid w:val="0076674A"/>
    <w:rsid w:val="00793FF9"/>
    <w:rsid w:val="007B279E"/>
    <w:rsid w:val="007B4F80"/>
    <w:rsid w:val="007B67A3"/>
    <w:rsid w:val="007C1F67"/>
    <w:rsid w:val="007D2149"/>
    <w:rsid w:val="007E2B56"/>
    <w:rsid w:val="007E6DFE"/>
    <w:rsid w:val="007F4592"/>
    <w:rsid w:val="008054DF"/>
    <w:rsid w:val="00820D69"/>
    <w:rsid w:val="00822FF1"/>
    <w:rsid w:val="008344DC"/>
    <w:rsid w:val="00846FC9"/>
    <w:rsid w:val="0085479C"/>
    <w:rsid w:val="00892733"/>
    <w:rsid w:val="008963B0"/>
    <w:rsid w:val="008B111F"/>
    <w:rsid w:val="008C5385"/>
    <w:rsid w:val="008C5B8E"/>
    <w:rsid w:val="008E46CF"/>
    <w:rsid w:val="008E536D"/>
    <w:rsid w:val="0090485D"/>
    <w:rsid w:val="009130F1"/>
    <w:rsid w:val="00921045"/>
    <w:rsid w:val="0092127C"/>
    <w:rsid w:val="009372F5"/>
    <w:rsid w:val="00956415"/>
    <w:rsid w:val="00960737"/>
    <w:rsid w:val="00961CB2"/>
    <w:rsid w:val="009709D0"/>
    <w:rsid w:val="00975BD5"/>
    <w:rsid w:val="00976A60"/>
    <w:rsid w:val="0098149D"/>
    <w:rsid w:val="00985B59"/>
    <w:rsid w:val="009A72E9"/>
    <w:rsid w:val="009D14F3"/>
    <w:rsid w:val="009D74F8"/>
    <w:rsid w:val="009D7D18"/>
    <w:rsid w:val="009E7F4E"/>
    <w:rsid w:val="00A001E6"/>
    <w:rsid w:val="00A065D0"/>
    <w:rsid w:val="00A13333"/>
    <w:rsid w:val="00A33131"/>
    <w:rsid w:val="00A34DC8"/>
    <w:rsid w:val="00A4136C"/>
    <w:rsid w:val="00A53B52"/>
    <w:rsid w:val="00A67CD2"/>
    <w:rsid w:val="00A833BD"/>
    <w:rsid w:val="00A91D8C"/>
    <w:rsid w:val="00AA195B"/>
    <w:rsid w:val="00AB225E"/>
    <w:rsid w:val="00AB7B95"/>
    <w:rsid w:val="00AE5FA3"/>
    <w:rsid w:val="00AE66B1"/>
    <w:rsid w:val="00AF3BAE"/>
    <w:rsid w:val="00AF768E"/>
    <w:rsid w:val="00B047A3"/>
    <w:rsid w:val="00B0697D"/>
    <w:rsid w:val="00B21957"/>
    <w:rsid w:val="00B31AF5"/>
    <w:rsid w:val="00B44C8E"/>
    <w:rsid w:val="00B453FB"/>
    <w:rsid w:val="00B56791"/>
    <w:rsid w:val="00B61722"/>
    <w:rsid w:val="00B65B14"/>
    <w:rsid w:val="00B754FB"/>
    <w:rsid w:val="00B81260"/>
    <w:rsid w:val="00BA0868"/>
    <w:rsid w:val="00BA690A"/>
    <w:rsid w:val="00BB150D"/>
    <w:rsid w:val="00BB17FA"/>
    <w:rsid w:val="00BB5BC5"/>
    <w:rsid w:val="00BD58AB"/>
    <w:rsid w:val="00BE1216"/>
    <w:rsid w:val="00BE5F84"/>
    <w:rsid w:val="00BF2D22"/>
    <w:rsid w:val="00C04695"/>
    <w:rsid w:val="00C16FA6"/>
    <w:rsid w:val="00C17CCF"/>
    <w:rsid w:val="00C30B15"/>
    <w:rsid w:val="00C377A7"/>
    <w:rsid w:val="00C4740A"/>
    <w:rsid w:val="00C50F40"/>
    <w:rsid w:val="00C64909"/>
    <w:rsid w:val="00C727B7"/>
    <w:rsid w:val="00C73C20"/>
    <w:rsid w:val="00C7425E"/>
    <w:rsid w:val="00C76FEE"/>
    <w:rsid w:val="00C947DD"/>
    <w:rsid w:val="00CA472B"/>
    <w:rsid w:val="00CD0EFD"/>
    <w:rsid w:val="00CE01B3"/>
    <w:rsid w:val="00CE3458"/>
    <w:rsid w:val="00D057EF"/>
    <w:rsid w:val="00D07EF9"/>
    <w:rsid w:val="00D12851"/>
    <w:rsid w:val="00D2529D"/>
    <w:rsid w:val="00D32855"/>
    <w:rsid w:val="00D3586C"/>
    <w:rsid w:val="00D5382D"/>
    <w:rsid w:val="00D65157"/>
    <w:rsid w:val="00DA4DF7"/>
    <w:rsid w:val="00DB4A90"/>
    <w:rsid w:val="00DC045A"/>
    <w:rsid w:val="00DC1B32"/>
    <w:rsid w:val="00DC38D9"/>
    <w:rsid w:val="00DC6121"/>
    <w:rsid w:val="00DC6F8B"/>
    <w:rsid w:val="00DD42EE"/>
    <w:rsid w:val="00DD7C49"/>
    <w:rsid w:val="00DE787A"/>
    <w:rsid w:val="00DF544C"/>
    <w:rsid w:val="00E02017"/>
    <w:rsid w:val="00E42FCC"/>
    <w:rsid w:val="00E50141"/>
    <w:rsid w:val="00E64723"/>
    <w:rsid w:val="00E70BB9"/>
    <w:rsid w:val="00E828F6"/>
    <w:rsid w:val="00E92B9F"/>
    <w:rsid w:val="00E9408A"/>
    <w:rsid w:val="00EA170A"/>
    <w:rsid w:val="00EA352E"/>
    <w:rsid w:val="00EB536C"/>
    <w:rsid w:val="00ED09B9"/>
    <w:rsid w:val="00EE1C35"/>
    <w:rsid w:val="00EF596B"/>
    <w:rsid w:val="00F038D7"/>
    <w:rsid w:val="00F166C6"/>
    <w:rsid w:val="00F25256"/>
    <w:rsid w:val="00F27FA1"/>
    <w:rsid w:val="00F33E38"/>
    <w:rsid w:val="00F35B1E"/>
    <w:rsid w:val="00F50D3C"/>
    <w:rsid w:val="00F52B37"/>
    <w:rsid w:val="00F53F89"/>
    <w:rsid w:val="00F62EEE"/>
    <w:rsid w:val="00F64B87"/>
    <w:rsid w:val="00F83293"/>
    <w:rsid w:val="00F86C74"/>
    <w:rsid w:val="00F93CBA"/>
    <w:rsid w:val="00F9532B"/>
    <w:rsid w:val="00FA6D33"/>
    <w:rsid w:val="00FB5969"/>
    <w:rsid w:val="00FC2905"/>
    <w:rsid w:val="00FC53C4"/>
    <w:rsid w:val="00FD4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3C79A-8D42-4FB5-B294-316608C6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260"/>
    <w:pPr>
      <w:spacing w:after="200" w:line="276" w:lineRule="auto"/>
      <w:ind w:left="720"/>
      <w:contextualSpacing/>
    </w:pPr>
  </w:style>
  <w:style w:type="paragraph" w:customStyle="1" w:styleId="tparagraph">
    <w:name w:val="tparagraph"/>
    <w:basedOn w:val="Normal"/>
    <w:rsid w:val="00333F45"/>
    <w:pPr>
      <w:spacing w:after="0" w:line="240" w:lineRule="auto"/>
    </w:pPr>
    <w:rPr>
      <w:rFonts w:ascii="Times New Roman" w:eastAsia="Times New Roman" w:hAnsi="Times New Roman" w:cs="Times New Roman"/>
      <w:sz w:val="20"/>
      <w:szCs w:val="20"/>
      <w:lang w:eastAsia="en-AU"/>
    </w:rPr>
  </w:style>
  <w:style w:type="paragraph" w:customStyle="1" w:styleId="tparagraph1">
    <w:name w:val="tparagraph1"/>
    <w:basedOn w:val="Normal"/>
    <w:rsid w:val="00CA472B"/>
    <w:pPr>
      <w:spacing w:before="60" w:after="60" w:line="240" w:lineRule="auto"/>
    </w:pPr>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961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1694">
      <w:bodyDiv w:val="1"/>
      <w:marLeft w:val="0"/>
      <w:marRight w:val="0"/>
      <w:marTop w:val="0"/>
      <w:marBottom w:val="0"/>
      <w:divBdr>
        <w:top w:val="none" w:sz="0" w:space="0" w:color="auto"/>
        <w:left w:val="none" w:sz="0" w:space="0" w:color="auto"/>
        <w:bottom w:val="none" w:sz="0" w:space="0" w:color="auto"/>
        <w:right w:val="none" w:sz="0" w:space="0" w:color="auto"/>
      </w:divBdr>
    </w:div>
    <w:div w:id="303896938">
      <w:bodyDiv w:val="1"/>
      <w:marLeft w:val="0"/>
      <w:marRight w:val="0"/>
      <w:marTop w:val="0"/>
      <w:marBottom w:val="0"/>
      <w:divBdr>
        <w:top w:val="none" w:sz="0" w:space="0" w:color="auto"/>
        <w:left w:val="none" w:sz="0" w:space="0" w:color="auto"/>
        <w:bottom w:val="none" w:sz="0" w:space="0" w:color="auto"/>
        <w:right w:val="none" w:sz="0" w:space="0" w:color="auto"/>
      </w:divBdr>
    </w:div>
    <w:div w:id="428043995">
      <w:bodyDiv w:val="1"/>
      <w:marLeft w:val="0"/>
      <w:marRight w:val="0"/>
      <w:marTop w:val="0"/>
      <w:marBottom w:val="0"/>
      <w:divBdr>
        <w:top w:val="none" w:sz="0" w:space="0" w:color="auto"/>
        <w:left w:val="none" w:sz="0" w:space="0" w:color="auto"/>
        <w:bottom w:val="none" w:sz="0" w:space="0" w:color="auto"/>
        <w:right w:val="none" w:sz="0" w:space="0" w:color="auto"/>
      </w:divBdr>
    </w:div>
    <w:div w:id="555046351">
      <w:bodyDiv w:val="1"/>
      <w:marLeft w:val="0"/>
      <w:marRight w:val="750"/>
      <w:marTop w:val="0"/>
      <w:marBottom w:val="0"/>
      <w:divBdr>
        <w:top w:val="none" w:sz="0" w:space="0" w:color="auto"/>
        <w:left w:val="none" w:sz="0" w:space="0" w:color="auto"/>
        <w:bottom w:val="none" w:sz="0" w:space="0" w:color="auto"/>
        <w:right w:val="none" w:sz="0" w:space="0" w:color="auto"/>
      </w:divBdr>
      <w:divsChild>
        <w:div w:id="1251356553">
          <w:marLeft w:val="0"/>
          <w:marRight w:val="0"/>
          <w:marTop w:val="0"/>
          <w:marBottom w:val="0"/>
          <w:divBdr>
            <w:top w:val="none" w:sz="0" w:space="0" w:color="auto"/>
            <w:left w:val="none" w:sz="0" w:space="0" w:color="auto"/>
            <w:bottom w:val="none" w:sz="0" w:space="0" w:color="auto"/>
            <w:right w:val="none" w:sz="0" w:space="0" w:color="auto"/>
          </w:divBdr>
          <w:divsChild>
            <w:div w:id="2007005164">
              <w:marLeft w:val="0"/>
              <w:marRight w:val="0"/>
              <w:marTop w:val="0"/>
              <w:marBottom w:val="0"/>
              <w:divBdr>
                <w:top w:val="none" w:sz="0" w:space="0" w:color="auto"/>
                <w:left w:val="none" w:sz="0" w:space="0" w:color="auto"/>
                <w:bottom w:val="none" w:sz="0" w:space="0" w:color="auto"/>
                <w:right w:val="none" w:sz="0" w:space="0" w:color="auto"/>
              </w:divBdr>
              <w:divsChild>
                <w:div w:id="2133550981">
                  <w:marLeft w:val="0"/>
                  <w:marRight w:val="0"/>
                  <w:marTop w:val="0"/>
                  <w:marBottom w:val="0"/>
                  <w:divBdr>
                    <w:top w:val="none" w:sz="0" w:space="0" w:color="auto"/>
                    <w:left w:val="none" w:sz="0" w:space="0" w:color="auto"/>
                    <w:bottom w:val="none" w:sz="0" w:space="0" w:color="auto"/>
                    <w:right w:val="none" w:sz="0" w:space="0" w:color="auto"/>
                  </w:divBdr>
                  <w:divsChild>
                    <w:div w:id="99616528">
                      <w:marLeft w:val="-225"/>
                      <w:marRight w:val="-225"/>
                      <w:marTop w:val="0"/>
                      <w:marBottom w:val="0"/>
                      <w:divBdr>
                        <w:top w:val="none" w:sz="0" w:space="0" w:color="auto"/>
                        <w:left w:val="none" w:sz="0" w:space="0" w:color="auto"/>
                        <w:bottom w:val="none" w:sz="0" w:space="0" w:color="auto"/>
                        <w:right w:val="none" w:sz="0" w:space="0" w:color="auto"/>
                      </w:divBdr>
                      <w:divsChild>
                        <w:div w:id="1906795170">
                          <w:marLeft w:val="0"/>
                          <w:marRight w:val="0"/>
                          <w:marTop w:val="0"/>
                          <w:marBottom w:val="0"/>
                          <w:divBdr>
                            <w:top w:val="none" w:sz="0" w:space="0" w:color="auto"/>
                            <w:left w:val="none" w:sz="0" w:space="0" w:color="auto"/>
                            <w:bottom w:val="none" w:sz="0" w:space="0" w:color="auto"/>
                            <w:right w:val="none" w:sz="0" w:space="0" w:color="auto"/>
                          </w:divBdr>
                          <w:divsChild>
                            <w:div w:id="847451861">
                              <w:marLeft w:val="0"/>
                              <w:marRight w:val="0"/>
                              <w:marTop w:val="0"/>
                              <w:marBottom w:val="0"/>
                              <w:divBdr>
                                <w:top w:val="none" w:sz="0" w:space="0" w:color="auto"/>
                                <w:left w:val="none" w:sz="0" w:space="0" w:color="auto"/>
                                <w:bottom w:val="none" w:sz="0" w:space="0" w:color="auto"/>
                                <w:right w:val="none" w:sz="0" w:space="0" w:color="auto"/>
                              </w:divBdr>
                              <w:divsChild>
                                <w:div w:id="1147822271">
                                  <w:marLeft w:val="0"/>
                                  <w:marRight w:val="0"/>
                                  <w:marTop w:val="0"/>
                                  <w:marBottom w:val="0"/>
                                  <w:divBdr>
                                    <w:top w:val="none" w:sz="0" w:space="0" w:color="auto"/>
                                    <w:left w:val="none" w:sz="0" w:space="0" w:color="auto"/>
                                    <w:bottom w:val="none" w:sz="0" w:space="0" w:color="auto"/>
                                    <w:right w:val="none" w:sz="0" w:space="0" w:color="auto"/>
                                  </w:divBdr>
                                  <w:divsChild>
                                    <w:div w:id="19284904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045436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79151582">
                                              <w:blockQuote w:val="1"/>
                                              <w:marLeft w:val="400"/>
                                              <w:marRight w:val="0"/>
                                              <w:marTop w:val="160"/>
                                              <w:marBottom w:val="200"/>
                                              <w:divBdr>
                                                <w:top w:val="none" w:sz="0" w:space="0" w:color="auto"/>
                                                <w:left w:val="none" w:sz="0" w:space="0" w:color="auto"/>
                                                <w:bottom w:val="none" w:sz="0" w:space="0" w:color="auto"/>
                                                <w:right w:val="none" w:sz="0" w:space="0" w:color="auto"/>
                                              </w:divBdr>
                                            </w:div>
                                            <w:div w:id="9406038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380655">
      <w:bodyDiv w:val="1"/>
      <w:marLeft w:val="0"/>
      <w:marRight w:val="0"/>
      <w:marTop w:val="0"/>
      <w:marBottom w:val="0"/>
      <w:divBdr>
        <w:top w:val="none" w:sz="0" w:space="0" w:color="auto"/>
        <w:left w:val="none" w:sz="0" w:space="0" w:color="auto"/>
        <w:bottom w:val="none" w:sz="0" w:space="0" w:color="auto"/>
        <w:right w:val="none" w:sz="0" w:space="0" w:color="auto"/>
      </w:divBdr>
    </w:div>
    <w:div w:id="1352729691">
      <w:bodyDiv w:val="1"/>
      <w:marLeft w:val="0"/>
      <w:marRight w:val="750"/>
      <w:marTop w:val="0"/>
      <w:marBottom w:val="0"/>
      <w:divBdr>
        <w:top w:val="none" w:sz="0" w:space="0" w:color="auto"/>
        <w:left w:val="none" w:sz="0" w:space="0" w:color="auto"/>
        <w:bottom w:val="none" w:sz="0" w:space="0" w:color="auto"/>
        <w:right w:val="none" w:sz="0" w:space="0" w:color="auto"/>
      </w:divBdr>
      <w:divsChild>
        <w:div w:id="1155956377">
          <w:marLeft w:val="0"/>
          <w:marRight w:val="0"/>
          <w:marTop w:val="0"/>
          <w:marBottom w:val="0"/>
          <w:divBdr>
            <w:top w:val="none" w:sz="0" w:space="0" w:color="auto"/>
            <w:left w:val="none" w:sz="0" w:space="0" w:color="auto"/>
            <w:bottom w:val="none" w:sz="0" w:space="0" w:color="auto"/>
            <w:right w:val="none" w:sz="0" w:space="0" w:color="auto"/>
          </w:divBdr>
          <w:divsChild>
            <w:div w:id="189685865">
              <w:marLeft w:val="0"/>
              <w:marRight w:val="0"/>
              <w:marTop w:val="0"/>
              <w:marBottom w:val="0"/>
              <w:divBdr>
                <w:top w:val="none" w:sz="0" w:space="0" w:color="auto"/>
                <w:left w:val="none" w:sz="0" w:space="0" w:color="auto"/>
                <w:bottom w:val="none" w:sz="0" w:space="0" w:color="auto"/>
                <w:right w:val="none" w:sz="0" w:space="0" w:color="auto"/>
              </w:divBdr>
              <w:divsChild>
                <w:div w:id="1769814053">
                  <w:marLeft w:val="0"/>
                  <w:marRight w:val="0"/>
                  <w:marTop w:val="0"/>
                  <w:marBottom w:val="0"/>
                  <w:divBdr>
                    <w:top w:val="none" w:sz="0" w:space="0" w:color="auto"/>
                    <w:left w:val="none" w:sz="0" w:space="0" w:color="auto"/>
                    <w:bottom w:val="none" w:sz="0" w:space="0" w:color="auto"/>
                    <w:right w:val="none" w:sz="0" w:space="0" w:color="auto"/>
                  </w:divBdr>
                  <w:divsChild>
                    <w:div w:id="1337533972">
                      <w:marLeft w:val="-225"/>
                      <w:marRight w:val="-225"/>
                      <w:marTop w:val="0"/>
                      <w:marBottom w:val="0"/>
                      <w:divBdr>
                        <w:top w:val="none" w:sz="0" w:space="0" w:color="auto"/>
                        <w:left w:val="none" w:sz="0" w:space="0" w:color="auto"/>
                        <w:bottom w:val="none" w:sz="0" w:space="0" w:color="auto"/>
                        <w:right w:val="none" w:sz="0" w:space="0" w:color="auto"/>
                      </w:divBdr>
                      <w:divsChild>
                        <w:div w:id="796527849">
                          <w:marLeft w:val="0"/>
                          <w:marRight w:val="0"/>
                          <w:marTop w:val="0"/>
                          <w:marBottom w:val="0"/>
                          <w:divBdr>
                            <w:top w:val="none" w:sz="0" w:space="0" w:color="auto"/>
                            <w:left w:val="none" w:sz="0" w:space="0" w:color="auto"/>
                            <w:bottom w:val="none" w:sz="0" w:space="0" w:color="auto"/>
                            <w:right w:val="none" w:sz="0" w:space="0" w:color="auto"/>
                          </w:divBdr>
                          <w:divsChild>
                            <w:div w:id="572547357">
                              <w:marLeft w:val="0"/>
                              <w:marRight w:val="0"/>
                              <w:marTop w:val="0"/>
                              <w:marBottom w:val="0"/>
                              <w:divBdr>
                                <w:top w:val="none" w:sz="0" w:space="0" w:color="auto"/>
                                <w:left w:val="none" w:sz="0" w:space="0" w:color="auto"/>
                                <w:bottom w:val="none" w:sz="0" w:space="0" w:color="auto"/>
                                <w:right w:val="none" w:sz="0" w:space="0" w:color="auto"/>
                              </w:divBdr>
                              <w:divsChild>
                                <w:div w:id="658506459">
                                  <w:marLeft w:val="0"/>
                                  <w:marRight w:val="0"/>
                                  <w:marTop w:val="0"/>
                                  <w:marBottom w:val="0"/>
                                  <w:divBdr>
                                    <w:top w:val="none" w:sz="0" w:space="0" w:color="auto"/>
                                    <w:left w:val="none" w:sz="0" w:space="0" w:color="auto"/>
                                    <w:bottom w:val="none" w:sz="0" w:space="0" w:color="auto"/>
                                    <w:right w:val="none" w:sz="0" w:space="0" w:color="auto"/>
                                  </w:divBdr>
                                  <w:divsChild>
                                    <w:div w:id="205156794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8424090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103484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545883">
      <w:bodyDiv w:val="1"/>
      <w:marLeft w:val="0"/>
      <w:marRight w:val="0"/>
      <w:marTop w:val="0"/>
      <w:marBottom w:val="0"/>
      <w:divBdr>
        <w:top w:val="none" w:sz="0" w:space="0" w:color="auto"/>
        <w:left w:val="none" w:sz="0" w:space="0" w:color="auto"/>
        <w:bottom w:val="none" w:sz="0" w:space="0" w:color="auto"/>
        <w:right w:val="none" w:sz="0" w:space="0" w:color="auto"/>
      </w:divBdr>
    </w:div>
    <w:div w:id="2064329413">
      <w:bodyDiv w:val="1"/>
      <w:marLeft w:val="0"/>
      <w:marRight w:val="750"/>
      <w:marTop w:val="0"/>
      <w:marBottom w:val="0"/>
      <w:divBdr>
        <w:top w:val="none" w:sz="0" w:space="0" w:color="auto"/>
        <w:left w:val="none" w:sz="0" w:space="0" w:color="auto"/>
        <w:bottom w:val="none" w:sz="0" w:space="0" w:color="auto"/>
        <w:right w:val="none" w:sz="0" w:space="0" w:color="auto"/>
      </w:divBdr>
      <w:divsChild>
        <w:div w:id="21826404">
          <w:marLeft w:val="0"/>
          <w:marRight w:val="0"/>
          <w:marTop w:val="0"/>
          <w:marBottom w:val="0"/>
          <w:divBdr>
            <w:top w:val="none" w:sz="0" w:space="0" w:color="auto"/>
            <w:left w:val="none" w:sz="0" w:space="0" w:color="auto"/>
            <w:bottom w:val="none" w:sz="0" w:space="0" w:color="auto"/>
            <w:right w:val="none" w:sz="0" w:space="0" w:color="auto"/>
          </w:divBdr>
          <w:divsChild>
            <w:div w:id="565721519">
              <w:marLeft w:val="0"/>
              <w:marRight w:val="0"/>
              <w:marTop w:val="0"/>
              <w:marBottom w:val="0"/>
              <w:divBdr>
                <w:top w:val="none" w:sz="0" w:space="0" w:color="auto"/>
                <w:left w:val="none" w:sz="0" w:space="0" w:color="auto"/>
                <w:bottom w:val="none" w:sz="0" w:space="0" w:color="auto"/>
                <w:right w:val="none" w:sz="0" w:space="0" w:color="auto"/>
              </w:divBdr>
              <w:divsChild>
                <w:div w:id="813257765">
                  <w:marLeft w:val="0"/>
                  <w:marRight w:val="0"/>
                  <w:marTop w:val="0"/>
                  <w:marBottom w:val="0"/>
                  <w:divBdr>
                    <w:top w:val="none" w:sz="0" w:space="0" w:color="auto"/>
                    <w:left w:val="none" w:sz="0" w:space="0" w:color="auto"/>
                    <w:bottom w:val="none" w:sz="0" w:space="0" w:color="auto"/>
                    <w:right w:val="none" w:sz="0" w:space="0" w:color="auto"/>
                  </w:divBdr>
                  <w:divsChild>
                    <w:div w:id="276959324">
                      <w:marLeft w:val="-225"/>
                      <w:marRight w:val="-225"/>
                      <w:marTop w:val="0"/>
                      <w:marBottom w:val="0"/>
                      <w:divBdr>
                        <w:top w:val="none" w:sz="0" w:space="0" w:color="auto"/>
                        <w:left w:val="none" w:sz="0" w:space="0" w:color="auto"/>
                        <w:bottom w:val="none" w:sz="0" w:space="0" w:color="auto"/>
                        <w:right w:val="none" w:sz="0" w:space="0" w:color="auto"/>
                      </w:divBdr>
                      <w:divsChild>
                        <w:div w:id="2003583374">
                          <w:marLeft w:val="0"/>
                          <w:marRight w:val="0"/>
                          <w:marTop w:val="0"/>
                          <w:marBottom w:val="0"/>
                          <w:divBdr>
                            <w:top w:val="none" w:sz="0" w:space="0" w:color="auto"/>
                            <w:left w:val="none" w:sz="0" w:space="0" w:color="auto"/>
                            <w:bottom w:val="none" w:sz="0" w:space="0" w:color="auto"/>
                            <w:right w:val="none" w:sz="0" w:space="0" w:color="auto"/>
                          </w:divBdr>
                          <w:divsChild>
                            <w:div w:id="1870606976">
                              <w:marLeft w:val="0"/>
                              <w:marRight w:val="0"/>
                              <w:marTop w:val="0"/>
                              <w:marBottom w:val="0"/>
                              <w:divBdr>
                                <w:top w:val="none" w:sz="0" w:space="0" w:color="auto"/>
                                <w:left w:val="none" w:sz="0" w:space="0" w:color="auto"/>
                                <w:bottom w:val="none" w:sz="0" w:space="0" w:color="auto"/>
                                <w:right w:val="none" w:sz="0" w:space="0" w:color="auto"/>
                              </w:divBdr>
                              <w:divsChild>
                                <w:div w:id="755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C0C69-C6C9-4C73-ABB9-0867F80C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DFACDAC4.dotm</Template>
  <TotalTime>78</TotalTime>
  <Pages>8</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Lane Cove Council</Company>
  <LinksUpToDate>false</LinksUpToDate>
  <CharactersWithSpaces>10319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Bashford</dc:creator>
  <cp:lastModifiedBy>Lauren Templeman</cp:lastModifiedBy>
  <cp:revision>8</cp:revision>
  <cp:lastPrinted>2016-07-06T03:32:00Z</cp:lastPrinted>
  <dcterms:created xsi:type="dcterms:W3CDTF">2016-06-16T04:22:00Z</dcterms:created>
  <dcterms:modified xsi:type="dcterms:W3CDTF">2016-07-06T03:53:00Z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A3374307</vt:lpwstr>
  </property>
  <property fmtid="{D5CDD505-2E9C-101B-9397-08002B2CF9AE}" pid="4" name="Objective-Title">
    <vt:lpwstr>1 - Departments Review of Councils Proposed Amendments</vt:lpwstr>
  </property>
  <property fmtid="{D5CDD505-2E9C-101B-9397-08002B2CF9AE}" pid="5" name="Objective-Comment">
    <vt:lpwstr/>
  </property>
  <property fmtid="{D5CDD505-2E9C-101B-9397-08002B2CF9AE}" pid="6" name="Objective-CreationStamp">
    <vt:filetime>2016-06-10T04:50:51Z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2016-06-14T06:15:44Z</vt:filetime>
  </property>
  <property fmtid="{D5CDD505-2E9C-101B-9397-08002B2CF9AE}" pid="10" name="Objective-ModificationStamp">
    <vt:filetime>2016-06-14T06:15:44Z</vt:filetime>
  </property>
  <property fmtid="{D5CDD505-2E9C-101B-9397-08002B2CF9AE}" pid="11" name="Objective-Owner">
    <vt:lpwstr>Chantelle Chow</vt:lpwstr>
  </property>
  <property fmtid="{D5CDD505-2E9C-101B-9397-08002B2CF9AE}" pid="12" name="Objective-Path">
    <vt:lpwstr>Objective Global Folder:1. Planning &amp; Environment (DP&amp;E):1. Planning &amp; Environment File Plan (DP&amp;E):PLANNING SYSTEM OPERATIONS MANAGEMENT:PLANNING ACTIVITY - SYDNEY EAST:Lane Cove:Local Environmental Plans:Lane Cove - Planning Proposal - LEP Review 2016:5</vt:lpwstr>
  </property>
  <property fmtid="{D5CDD505-2E9C-101B-9397-08002B2CF9AE}" pid="13" name="Objective-Parent">
    <vt:lpwstr>5 - Departments Review</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16/08213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UNCLASSIFIED</vt:lpwstr>
  </property>
  <property fmtid="{D5CDD505-2E9C-101B-9397-08002B2CF9AE}" pid="23" name="Objective-Vital Record [system]">
    <vt:lpwstr>No</vt:lpwstr>
  </property>
</Properties>
</file>